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方正小标宋简体" w:hAnsi="方正小标宋简体" w:eastAsia="方正小标宋简体" w:cs="方正小标宋简体"/>
          <w:sz w:val="32"/>
          <w:szCs w:val="32"/>
        </w:rPr>
      </w:pPr>
    </w:p>
    <w:p>
      <w:pPr>
        <w:ind w:firstLine="0" w:firstLineChars="0"/>
        <w:jc w:val="center"/>
        <w:rPr>
          <w:rFonts w:ascii="方正小标宋简体" w:hAnsi="方正小标宋简体" w:eastAsia="方正小标宋简体" w:cs="方正小标宋简体"/>
          <w:sz w:val="32"/>
          <w:szCs w:val="32"/>
        </w:rPr>
      </w:pPr>
    </w:p>
    <w:p>
      <w:pPr>
        <w:ind w:firstLine="0" w:firstLineChars="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重庆江津先锋国际花椒产业城项目</w:t>
      </w:r>
    </w:p>
    <w:p>
      <w:pPr>
        <w:ind w:firstLine="0" w:firstLineChars="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可行性研究报告编制服务合同</w:t>
      </w:r>
    </w:p>
    <w:p>
      <w:pPr>
        <w:ind w:firstLine="0" w:firstLineChars="0"/>
        <w:jc w:val="center"/>
        <w:rPr>
          <w:rFonts w:ascii="方正小标宋简体" w:hAnsi="方正小标宋简体" w:eastAsia="方正小标宋简体" w:cs="方正小标宋简体"/>
          <w:sz w:val="44"/>
          <w:szCs w:val="44"/>
        </w:rPr>
      </w:pPr>
    </w:p>
    <w:p>
      <w:pPr>
        <w:ind w:firstLine="0" w:firstLineChars="0"/>
        <w:jc w:val="center"/>
        <w:rPr>
          <w:rFonts w:ascii="方正小标宋简体" w:hAnsi="方正小标宋简体" w:eastAsia="方正小标宋简体" w:cs="方正小标宋简体"/>
          <w:sz w:val="44"/>
          <w:szCs w:val="44"/>
        </w:rPr>
      </w:pPr>
    </w:p>
    <w:p>
      <w:pPr>
        <w:ind w:firstLine="0" w:firstLineChars="0"/>
        <w:jc w:val="center"/>
        <w:rPr>
          <w:rFonts w:ascii="方正小标宋简体" w:hAnsi="方正小标宋简体" w:eastAsia="方正小标宋简体" w:cs="方正小标宋简体"/>
          <w:sz w:val="44"/>
          <w:szCs w:val="44"/>
        </w:rPr>
      </w:pPr>
    </w:p>
    <w:p>
      <w:pPr>
        <w:ind w:firstLine="0" w:firstLineChars="0"/>
        <w:jc w:val="center"/>
        <w:rPr>
          <w:rFonts w:ascii="方正小标宋简体" w:hAnsi="方正小标宋简体" w:eastAsia="方正小标宋简体" w:cs="方正小标宋简体"/>
          <w:sz w:val="44"/>
          <w:szCs w:val="44"/>
        </w:rPr>
      </w:pPr>
    </w:p>
    <w:p>
      <w:pPr>
        <w:ind w:firstLine="0" w:firstLineChars="0"/>
        <w:jc w:val="center"/>
        <w:rPr>
          <w:rFonts w:ascii="方正小标宋简体" w:hAnsi="方正小标宋简体" w:eastAsia="方正小标宋简体" w:cs="方正小标宋简体"/>
          <w:sz w:val="44"/>
          <w:szCs w:val="44"/>
        </w:rPr>
      </w:pPr>
    </w:p>
    <w:p>
      <w:pPr>
        <w:ind w:firstLine="0" w:firstLineChars="0"/>
        <w:jc w:val="center"/>
        <w:rPr>
          <w:rFonts w:ascii="方正小标宋简体" w:hAnsi="方正小标宋简体" w:eastAsia="方正小标宋简体" w:cs="方正小标宋简体"/>
          <w:sz w:val="44"/>
          <w:szCs w:val="44"/>
        </w:rPr>
      </w:pPr>
    </w:p>
    <w:p/>
    <w:p/>
    <w:p>
      <w:pPr>
        <w:ind w:firstLine="2560" w:firstLineChars="800"/>
        <w:rPr>
          <w:sz w:val="32"/>
          <w:szCs w:val="32"/>
        </w:rPr>
      </w:pPr>
    </w:p>
    <w:p>
      <w:pPr>
        <w:ind w:firstLine="640"/>
        <w:rPr>
          <w:sz w:val="32"/>
          <w:szCs w:val="32"/>
          <w:u w:val="single"/>
        </w:rPr>
      </w:pPr>
      <w:r>
        <w:rPr>
          <w:rFonts w:hint="eastAsia"/>
          <w:sz w:val="32"/>
          <w:szCs w:val="32"/>
        </w:rPr>
        <w:t>甲方：</w:t>
      </w:r>
      <w:r>
        <w:rPr>
          <w:rFonts w:hint="eastAsia"/>
          <w:sz w:val="32"/>
          <w:szCs w:val="32"/>
          <w:u w:val="single"/>
        </w:rPr>
        <w:t>重庆市江津区华信资产经营（集团）有限公司</w:t>
      </w:r>
    </w:p>
    <w:p>
      <w:pPr>
        <w:ind w:firstLine="640"/>
      </w:pPr>
      <w:r>
        <w:rPr>
          <w:rFonts w:hint="eastAsia"/>
          <w:sz w:val="32"/>
          <w:szCs w:val="32"/>
        </w:rPr>
        <w:t>乙方：</w:t>
      </w:r>
      <w:r>
        <w:rPr>
          <w:rFonts w:hint="eastAsia"/>
          <w:sz w:val="32"/>
          <w:szCs w:val="32"/>
          <w:u w:val="single"/>
        </w:rPr>
        <w:t xml:space="preserve">                                        </w:t>
      </w:r>
    </w:p>
    <w:p/>
    <w:p/>
    <w:p/>
    <w:p/>
    <w:p>
      <w:pPr>
        <w:ind w:firstLine="0" w:firstLineChars="0"/>
      </w:pPr>
    </w:p>
    <w:p>
      <w:pPr>
        <w:ind w:firstLine="0" w:firstLineChars="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重庆江津先锋国际花椒产业城项目</w:t>
      </w:r>
    </w:p>
    <w:p>
      <w:pPr>
        <w:ind w:firstLine="720"/>
      </w:pPr>
      <w:r>
        <w:rPr>
          <w:rFonts w:hint="eastAsia" w:ascii="方正小标宋简体" w:hAnsi="方正小标宋简体" w:eastAsia="方正小标宋简体" w:cs="方正小标宋简体"/>
          <w:sz w:val="36"/>
          <w:szCs w:val="36"/>
        </w:rPr>
        <w:t xml:space="preserve">            可行性研究报告编制服务合同</w:t>
      </w:r>
    </w:p>
    <w:p>
      <w:pPr>
        <w:ind w:firstLine="0" w:firstLineChars="0"/>
      </w:pPr>
      <w:r>
        <w:rPr>
          <w:rFonts w:hint="eastAsia"/>
        </w:rPr>
        <w:t>甲方：重庆市江津区华信资产经营       乙方：</w:t>
      </w:r>
    </w:p>
    <w:p>
      <w:pPr>
        <w:ind w:firstLine="0" w:firstLineChars="0"/>
      </w:pPr>
      <w:r>
        <w:rPr>
          <w:rFonts w:hint="eastAsia"/>
        </w:rPr>
        <w:t xml:space="preserve">（集团）有限公司  </w:t>
      </w:r>
    </w:p>
    <w:p>
      <w:pPr>
        <w:ind w:firstLine="0" w:firstLineChars="0"/>
      </w:pPr>
      <w:r>
        <w:rPr>
          <w:rFonts w:hint="eastAsia"/>
        </w:rPr>
        <w:t>住址：                                住址：</w:t>
      </w:r>
    </w:p>
    <w:p>
      <w:pPr>
        <w:ind w:firstLine="0" w:firstLineChars="0"/>
      </w:pPr>
      <w:r>
        <w:rPr>
          <w:rFonts w:hint="eastAsia"/>
        </w:rPr>
        <w:t>法定代表人：                          法定代表人：</w:t>
      </w:r>
    </w:p>
    <w:p>
      <w:pPr>
        <w:ind w:firstLine="0" w:firstLineChars="0"/>
      </w:pPr>
      <w:r>
        <w:rPr>
          <w:rFonts w:hint="eastAsia"/>
        </w:rPr>
        <w:t>联系电话：                            联系电话：</w:t>
      </w:r>
    </w:p>
    <w:p>
      <w:pPr>
        <w:ind w:firstLine="0" w:firstLineChars="0"/>
      </w:pPr>
    </w:p>
    <w:p>
      <w:r>
        <w:rPr>
          <w:rFonts w:hint="eastAsia"/>
        </w:rPr>
        <w:t>鉴于：</w:t>
      </w:r>
    </w:p>
    <w:p>
      <w:r>
        <w:t>甲方</w:t>
      </w:r>
      <w:r>
        <w:rPr>
          <w:rFonts w:hint="eastAsia"/>
        </w:rPr>
        <w:t>拟</w:t>
      </w:r>
      <w:r>
        <w:t>合资合作方式引进第三方</w:t>
      </w:r>
      <w:r>
        <w:rPr>
          <w:rFonts w:hint="eastAsia"/>
        </w:rPr>
        <w:t>单位</w:t>
      </w:r>
      <w:r>
        <w:t>投资</w:t>
      </w:r>
      <w:r>
        <w:rPr>
          <w:rFonts w:hint="eastAsia"/>
        </w:rPr>
        <w:t>、</w:t>
      </w:r>
      <w:r>
        <w:t>开发和运营</w:t>
      </w:r>
      <w:r>
        <w:rPr>
          <w:rFonts w:hint="eastAsia"/>
        </w:rPr>
        <w:t>重庆江津先锋国际花椒产业城项目（以下简称花椒产业城项目）</w:t>
      </w:r>
      <w:r>
        <w:t>，需向区国资委提交相</w:t>
      </w:r>
      <w:r>
        <w:rPr>
          <w:rFonts w:hint="eastAsia"/>
        </w:rPr>
        <w:t>应的可行性研究报告</w:t>
      </w:r>
      <w:r>
        <w:t>，以期进行项目和新设公司核准。为此甲方通过</w:t>
      </w:r>
      <w:r>
        <w:rPr>
          <w:rFonts w:hint="eastAsia"/>
        </w:rPr>
        <w:t>招投标方式</w:t>
      </w:r>
      <w:r>
        <w:t>选择乙方作为项目</w:t>
      </w:r>
      <w:r>
        <w:rPr>
          <w:rFonts w:hint="eastAsia"/>
        </w:rPr>
        <w:t>可行性研究报告编制服务商</w:t>
      </w:r>
      <w:r>
        <w:t>，</w:t>
      </w:r>
      <w:r>
        <w:rPr>
          <w:rFonts w:hint="eastAsia"/>
        </w:rPr>
        <w:t>乙方愿意承接该项目工作。</w:t>
      </w:r>
      <w:r>
        <w:t>甲乙双方本着公正、公开、公平、平等原则，现就</w:t>
      </w:r>
      <w:r>
        <w:rPr>
          <w:rFonts w:hint="eastAsia"/>
        </w:rPr>
        <w:t>花椒产业城项目可行性研究报告编制服务</w:t>
      </w:r>
      <w:r>
        <w:t>达成如下一致意见。</w:t>
      </w:r>
    </w:p>
    <w:p>
      <w:pPr>
        <w:ind w:firstLine="0" w:firstLineChars="0"/>
        <w:rPr>
          <w:rFonts w:ascii="黑体" w:hAnsi="黑体" w:eastAsia="黑体" w:cs="黑体"/>
          <w:b/>
          <w:bCs/>
          <w:sz w:val="32"/>
          <w:szCs w:val="32"/>
        </w:rPr>
      </w:pPr>
      <w:r>
        <w:rPr>
          <w:rFonts w:hint="eastAsia" w:ascii="黑体" w:hAnsi="黑体" w:eastAsia="黑体" w:cs="黑体"/>
          <w:b/>
          <w:bCs/>
          <w:sz w:val="32"/>
          <w:szCs w:val="32"/>
        </w:rPr>
        <w:t>一、合同标的</w:t>
      </w:r>
    </w:p>
    <w:p>
      <w:pPr>
        <w:ind w:firstLine="562"/>
      </w:pPr>
      <w:r>
        <w:rPr>
          <w:b/>
          <w:bCs/>
        </w:rPr>
        <w:t>1.1项目名称</w:t>
      </w:r>
      <w:r>
        <w:t>：</w:t>
      </w:r>
      <w:r>
        <w:rPr>
          <w:rFonts w:hint="eastAsia"/>
        </w:rPr>
        <w:t>重庆江津先锋国际花椒产业城项目</w:t>
      </w:r>
    </w:p>
    <w:p>
      <w:pPr>
        <w:ind w:firstLine="562"/>
        <w:rPr>
          <w:rFonts w:hint="eastAsia"/>
        </w:rPr>
      </w:pPr>
      <w:r>
        <w:rPr>
          <w:b/>
          <w:bCs/>
        </w:rPr>
        <w:t>1.2项目地址</w:t>
      </w:r>
      <w:r>
        <w:t>：江津区先锋</w:t>
      </w:r>
      <w:r>
        <w:rPr>
          <w:rFonts w:hint="eastAsia"/>
        </w:rPr>
        <w:t>特色食品产业</w:t>
      </w:r>
      <w:r>
        <w:t>园</w:t>
      </w:r>
    </w:p>
    <w:p>
      <w:pPr>
        <w:ind w:firstLine="562"/>
      </w:pPr>
      <w:r>
        <w:rPr>
          <w:rFonts w:hint="eastAsia"/>
          <w:b/>
        </w:rPr>
        <w:t>1.3项目规模：</w:t>
      </w:r>
      <w:r>
        <w:rPr>
          <w:rFonts w:hint="eastAsia"/>
        </w:rPr>
        <w:t>约300亩</w:t>
      </w:r>
    </w:p>
    <w:p>
      <w:pPr>
        <w:ind w:firstLine="562"/>
      </w:pPr>
      <w:r>
        <w:rPr>
          <w:b/>
          <w:bCs/>
        </w:rPr>
        <w:t>1.</w:t>
      </w:r>
      <w:r>
        <w:rPr>
          <w:rFonts w:hint="eastAsia"/>
          <w:b/>
          <w:bCs/>
        </w:rPr>
        <w:t>4</w:t>
      </w:r>
      <w:r>
        <w:rPr>
          <w:b/>
          <w:bCs/>
        </w:rPr>
        <w:t>建设内容</w:t>
      </w:r>
      <w:r>
        <w:t>：集花椒</w:t>
      </w:r>
      <w:r>
        <w:rPr>
          <w:rFonts w:hint="eastAsia"/>
        </w:rPr>
        <w:t>及食品调味品</w:t>
      </w:r>
      <w:r>
        <w:t>现代流通</w:t>
      </w:r>
      <w:r>
        <w:rPr>
          <w:rFonts w:hint="eastAsia"/>
        </w:rPr>
        <w:t>、</w:t>
      </w:r>
      <w:r>
        <w:t>加工</w:t>
      </w:r>
      <w:r>
        <w:rPr>
          <w:rFonts w:hint="eastAsia"/>
        </w:rPr>
        <w:t>、</w:t>
      </w:r>
      <w:r>
        <w:t>物流及</w:t>
      </w:r>
      <w:r>
        <w:rPr>
          <w:rFonts w:hint="eastAsia"/>
        </w:rPr>
        <w:t>配套</w:t>
      </w:r>
      <w:r>
        <w:t>为一体的新型产业综合体。</w:t>
      </w:r>
    </w:p>
    <w:p>
      <w:pPr>
        <w:ind w:firstLine="0" w:firstLineChars="0"/>
        <w:rPr>
          <w:rFonts w:ascii="黑体" w:hAnsi="黑体" w:eastAsia="黑体" w:cs="黑体"/>
          <w:b/>
          <w:bCs/>
          <w:sz w:val="32"/>
          <w:szCs w:val="32"/>
        </w:rPr>
      </w:pPr>
      <w:r>
        <w:rPr>
          <w:rFonts w:hint="eastAsia" w:ascii="黑体" w:hAnsi="黑体" w:eastAsia="黑体" w:cs="黑体"/>
          <w:b/>
          <w:bCs/>
          <w:sz w:val="32"/>
          <w:szCs w:val="32"/>
        </w:rPr>
        <w:t>二、服务内容</w:t>
      </w:r>
    </w:p>
    <w:p>
      <w:r>
        <w:rPr>
          <w:rFonts w:hint="eastAsia"/>
        </w:rPr>
        <w:t>乙方为甲方</w:t>
      </w:r>
      <w:r>
        <w:t>提供</w:t>
      </w:r>
      <w:r>
        <w:rPr>
          <w:rFonts w:hint="eastAsia"/>
        </w:rPr>
        <w:t>项目可行性研究报告编制服务，包括</w:t>
      </w:r>
      <w:r>
        <w:t>项目市场调研、项目前期策划、项目</w:t>
      </w:r>
      <w:r>
        <w:rPr>
          <w:rFonts w:hint="eastAsia"/>
        </w:rPr>
        <w:t>建筑</w:t>
      </w:r>
      <w:r>
        <w:t>方案设计、</w:t>
      </w:r>
      <w:r>
        <w:rPr>
          <w:rFonts w:hint="eastAsia"/>
        </w:rPr>
        <w:t>项目</w:t>
      </w:r>
      <w:r>
        <w:t>可行性研究报告</w:t>
      </w:r>
      <w:r>
        <w:rPr>
          <w:rFonts w:hint="eastAsia"/>
        </w:rPr>
        <w:t>编制的全要素可行性研究咨询服务</w:t>
      </w:r>
      <w:r>
        <w:t>。</w:t>
      </w:r>
    </w:p>
    <w:p>
      <w:pPr>
        <w:ind w:firstLine="562"/>
        <w:rPr>
          <w:b/>
          <w:bCs/>
        </w:rPr>
      </w:pPr>
      <w:r>
        <w:rPr>
          <w:b/>
          <w:bCs/>
        </w:rPr>
        <w:t>2.</w:t>
      </w:r>
      <w:r>
        <w:rPr>
          <w:rFonts w:hint="eastAsia"/>
          <w:b/>
          <w:bCs/>
        </w:rPr>
        <w:t>1</w:t>
      </w:r>
      <w:r>
        <w:rPr>
          <w:b/>
          <w:bCs/>
        </w:rPr>
        <w:t>市场调研</w:t>
      </w:r>
    </w:p>
    <w:p>
      <w:r>
        <w:t>主要对全区及周边地区花椒种植生产基地、市场（加工、流通企业</w:t>
      </w:r>
      <w:r>
        <w:rPr>
          <w:rFonts w:hint="eastAsia"/>
        </w:rPr>
        <w:t>等</w:t>
      </w:r>
      <w:r>
        <w:t>）需求进行调研，分析项目需求。</w:t>
      </w:r>
    </w:p>
    <w:p>
      <w:pPr>
        <w:ind w:firstLine="562"/>
        <w:rPr>
          <w:b/>
          <w:bCs/>
        </w:rPr>
      </w:pPr>
      <w:r>
        <w:rPr>
          <w:b/>
          <w:bCs/>
        </w:rPr>
        <w:t>2.</w:t>
      </w:r>
      <w:r>
        <w:rPr>
          <w:rFonts w:hint="eastAsia"/>
          <w:b/>
          <w:bCs/>
        </w:rPr>
        <w:t>2</w:t>
      </w:r>
      <w:r>
        <w:rPr>
          <w:b/>
          <w:bCs/>
        </w:rPr>
        <w:t>项目前期策划</w:t>
      </w:r>
    </w:p>
    <w:p>
      <w:r>
        <w:t>主要完成项目建设必要性阐述对项目建设条件和市场需求分析，研判项目建设优劣势、机会及威胁、项目主要支撑点。确定项目总体定位、发展目标、产业发展目标，规划项目主要建筑布局、经济技术指标、项目建设策略、招商营销策略</w:t>
      </w:r>
      <w:r>
        <w:rPr>
          <w:rFonts w:hint="eastAsia"/>
        </w:rPr>
        <w:t>、</w:t>
      </w:r>
      <w:r>
        <w:t>项目投资估算及效益分析。</w:t>
      </w:r>
    </w:p>
    <w:p>
      <w:pPr>
        <w:ind w:firstLine="562"/>
        <w:rPr>
          <w:b/>
          <w:bCs/>
        </w:rPr>
      </w:pPr>
      <w:r>
        <w:rPr>
          <w:b/>
          <w:bCs/>
        </w:rPr>
        <w:t>2.</w:t>
      </w:r>
      <w:r>
        <w:rPr>
          <w:rFonts w:hint="eastAsia"/>
          <w:b/>
          <w:bCs/>
        </w:rPr>
        <w:t>3</w:t>
      </w:r>
      <w:r>
        <w:rPr>
          <w:b/>
          <w:bCs/>
        </w:rPr>
        <w:t>项目建筑方案设计</w:t>
      </w:r>
    </w:p>
    <w:p>
      <w:r>
        <w:t>主要完成项目建筑总图（总平、竖向、管网、消防、景观）、建筑单体及规划图纸设计和规划文本说明编制</w:t>
      </w:r>
      <w:r>
        <w:rPr>
          <w:rFonts w:hint="eastAsia"/>
        </w:rPr>
        <w:t>，并</w:t>
      </w:r>
      <w:r>
        <w:t>满足</w:t>
      </w:r>
      <w:r>
        <w:rPr>
          <w:rFonts w:hint="eastAsia"/>
        </w:rPr>
        <w:t>报建</w:t>
      </w:r>
      <w:r>
        <w:t>及EPC招标对方案设计的深度要求。</w:t>
      </w:r>
    </w:p>
    <w:p>
      <w:pPr>
        <w:ind w:firstLine="562"/>
        <w:rPr>
          <w:b/>
          <w:bCs/>
        </w:rPr>
      </w:pPr>
      <w:r>
        <w:rPr>
          <w:b/>
          <w:bCs/>
        </w:rPr>
        <w:t>2.</w:t>
      </w:r>
      <w:r>
        <w:rPr>
          <w:rFonts w:hint="eastAsia"/>
          <w:b/>
          <w:bCs/>
        </w:rPr>
        <w:t>4</w:t>
      </w:r>
      <w:r>
        <w:rPr>
          <w:b/>
          <w:bCs/>
        </w:rPr>
        <w:t>项目建设可行性研究报告</w:t>
      </w:r>
    </w:p>
    <w:p>
      <w:r>
        <w:t>主要完成项目建设意义、建设现状、市场可行性、建设内容、规划布局、公用工程、经营模式、环保、节能、消防、劳动组织、建设进度、招投标、投资估算、财务分析、社会效益及风险评估等内容的编制。</w:t>
      </w:r>
    </w:p>
    <w:p>
      <w:pPr>
        <w:ind w:firstLine="0" w:firstLineChars="0"/>
        <w:rPr>
          <w:rFonts w:ascii="黑体" w:hAnsi="黑体" w:eastAsia="黑体" w:cs="黑体"/>
          <w:b/>
          <w:bCs/>
          <w:sz w:val="32"/>
          <w:szCs w:val="32"/>
        </w:rPr>
      </w:pPr>
      <w:r>
        <w:rPr>
          <w:rFonts w:hint="eastAsia" w:ascii="黑体" w:hAnsi="黑体" w:eastAsia="黑体" w:cs="黑体"/>
          <w:b/>
          <w:bCs/>
          <w:sz w:val="32"/>
          <w:szCs w:val="32"/>
        </w:rPr>
        <w:t>三、提交成果及深度</w:t>
      </w:r>
    </w:p>
    <w:p>
      <w:pPr>
        <w:ind w:firstLine="562"/>
        <w:rPr>
          <w:b/>
          <w:bCs/>
        </w:rPr>
      </w:pPr>
      <w:r>
        <w:rPr>
          <w:b/>
          <w:bCs/>
        </w:rPr>
        <w:t>3.1市场调研报告</w:t>
      </w:r>
    </w:p>
    <w:p>
      <w:r>
        <w:t>3.1.1报告内容</w:t>
      </w:r>
    </w:p>
    <w:p>
      <w:r>
        <w:t>1.主要内容包括：项目现状区位、交通、用地条件、上位规划分析；</w:t>
      </w:r>
    </w:p>
    <w:p>
      <w:r>
        <w:t>2.全国花椒市场供需状况分析；</w:t>
      </w:r>
    </w:p>
    <w:p>
      <w:r>
        <w:t>3.重庆及周边地区花椒市场供需分析；</w:t>
      </w:r>
    </w:p>
    <w:p>
      <w:r>
        <w:rPr>
          <w:rFonts w:hint="eastAsia"/>
        </w:rPr>
        <w:t>4.调味品食品加工发展需求</w:t>
      </w:r>
    </w:p>
    <w:p>
      <w:r>
        <w:rPr>
          <w:rFonts w:hint="eastAsia"/>
        </w:rPr>
        <w:t>5</w:t>
      </w:r>
      <w:r>
        <w:t>.项目需求分析；</w:t>
      </w:r>
    </w:p>
    <w:p>
      <w:r>
        <w:rPr>
          <w:rFonts w:hint="eastAsia"/>
        </w:rPr>
        <w:t>6</w:t>
      </w:r>
      <w:r>
        <w:t>.主要结论及建议；</w:t>
      </w:r>
    </w:p>
    <w:p>
      <w:r>
        <w:t>3.1.2报告要求</w:t>
      </w:r>
    </w:p>
    <w:p>
      <w:r>
        <w:t>1.图文并茂；</w:t>
      </w:r>
    </w:p>
    <w:p>
      <w:r>
        <w:t>2.运用</w:t>
      </w:r>
      <w:r>
        <w:rPr>
          <w:rFonts w:hint="eastAsia"/>
        </w:rPr>
        <w:t>SPSS</w:t>
      </w:r>
      <w:r>
        <w:t>等分析软件</w:t>
      </w:r>
      <w:r>
        <w:rPr>
          <w:rFonts w:hint="eastAsia"/>
        </w:rPr>
        <w:t>，</w:t>
      </w:r>
      <w:r>
        <w:t>分析具有一定深度；</w:t>
      </w:r>
    </w:p>
    <w:p>
      <w:pPr>
        <w:ind w:firstLine="562"/>
        <w:rPr>
          <w:b/>
          <w:bCs/>
        </w:rPr>
      </w:pPr>
      <w:r>
        <w:rPr>
          <w:b/>
          <w:bCs/>
        </w:rPr>
        <w:t>3.2项目前期策划方案</w:t>
      </w:r>
    </w:p>
    <w:p>
      <w:r>
        <w:t>3.2.1方案内容</w:t>
      </w:r>
    </w:p>
    <w:p>
      <w:r>
        <w:rPr>
          <w:rFonts w:hint="eastAsia"/>
        </w:rPr>
        <w:t>1.</w:t>
      </w:r>
      <w:r>
        <w:t>项目概况：项目概况及编制依据等；</w:t>
      </w:r>
    </w:p>
    <w:p>
      <w:r>
        <w:rPr>
          <w:rFonts w:hint="eastAsia"/>
        </w:rPr>
        <w:t>2.</w:t>
      </w:r>
      <w:r>
        <w:t>项目建设必要性：从宏观、微观方面进行阐述；</w:t>
      </w:r>
    </w:p>
    <w:p>
      <w:r>
        <w:rPr>
          <w:rFonts w:hint="eastAsia"/>
        </w:rPr>
        <w:t>3.</w:t>
      </w:r>
      <w:r>
        <w:t>项目建设现状：区位、交通、用地条件、产业、上位规划等；</w:t>
      </w:r>
    </w:p>
    <w:p>
      <w:r>
        <w:rPr>
          <w:rFonts w:hint="eastAsia"/>
        </w:rPr>
        <w:t>4.</w:t>
      </w:r>
      <w:r>
        <w:t>市场分析：主要从全国花椒</w:t>
      </w:r>
      <w:r>
        <w:rPr>
          <w:rFonts w:hint="eastAsia"/>
        </w:rPr>
        <w:t>、调味品食品</w:t>
      </w:r>
      <w:r>
        <w:t>及农副产品生产、加工、交易及需求情况，</w:t>
      </w:r>
      <w:r>
        <w:rPr>
          <w:rFonts w:hint="eastAsia"/>
        </w:rPr>
        <w:t>重庆及周边地区花椒、调味品食品及农副产品市场供求情况；</w:t>
      </w:r>
    </w:p>
    <w:p>
      <w:r>
        <w:rPr>
          <w:rFonts w:hint="eastAsia"/>
        </w:rPr>
        <w:t>5.项目需求情况等方面进行分析；</w:t>
      </w:r>
    </w:p>
    <w:p>
      <w:r>
        <w:rPr>
          <w:rFonts w:hint="eastAsia"/>
        </w:rPr>
        <w:t>6.项目SWOT</w:t>
      </w:r>
      <w:r>
        <w:rPr>
          <w:rFonts w:hint="eastAsia"/>
        </w:rPr>
        <w:tab/>
      </w:r>
      <w:r>
        <w:rPr>
          <w:rFonts w:hint="eastAsia"/>
        </w:rPr>
        <w:t>分析：主要优劣势、机会及威胁、项目支撑点；</w:t>
      </w:r>
    </w:p>
    <w:p>
      <w:r>
        <w:rPr>
          <w:rFonts w:hint="eastAsia"/>
        </w:rPr>
        <w:t>7.项目建设内容：</w:t>
      </w:r>
      <w:r>
        <w:t>集花椒</w:t>
      </w:r>
      <w:r>
        <w:rPr>
          <w:rFonts w:hint="eastAsia"/>
        </w:rPr>
        <w:t>及食品调味品</w:t>
      </w:r>
      <w:r>
        <w:t>现代流通</w:t>
      </w:r>
      <w:r>
        <w:rPr>
          <w:rFonts w:hint="eastAsia"/>
        </w:rPr>
        <w:t>、</w:t>
      </w:r>
      <w:r>
        <w:t>加工</w:t>
      </w:r>
      <w:r>
        <w:rPr>
          <w:rFonts w:hint="eastAsia"/>
        </w:rPr>
        <w:t>、</w:t>
      </w:r>
      <w:r>
        <w:t>物流及</w:t>
      </w:r>
      <w:r>
        <w:rPr>
          <w:rFonts w:hint="eastAsia"/>
        </w:rPr>
        <w:t>配套</w:t>
      </w:r>
      <w:r>
        <w:t>为一体的新型产业综合体</w:t>
      </w:r>
      <w:r>
        <w:rPr>
          <w:rFonts w:hint="eastAsia"/>
        </w:rPr>
        <w:t>；</w:t>
      </w:r>
    </w:p>
    <w:p>
      <w:r>
        <w:rPr>
          <w:rFonts w:hint="eastAsia"/>
        </w:rPr>
        <w:t>8.项目总体定位：指导思想、发展目标、产业发展规划定位等；</w:t>
      </w:r>
    </w:p>
    <w:p>
      <w:r>
        <w:rPr>
          <w:rFonts w:hint="eastAsia"/>
        </w:rPr>
        <w:t>9.项目规划布局：项目总平面布局、功能分区布局及经济指标等；</w:t>
      </w:r>
    </w:p>
    <w:p>
      <w:r>
        <w:rPr>
          <w:rFonts w:hint="eastAsia"/>
        </w:rPr>
        <w:t>10.项目建设策略：项目建设组织、建设进度等；</w:t>
      </w:r>
    </w:p>
    <w:p>
      <w:r>
        <w:rPr>
          <w:rFonts w:hint="eastAsia"/>
        </w:rPr>
        <w:t>11.招商营销策略：项目招商策略、广告策略、促销策略等；</w:t>
      </w:r>
    </w:p>
    <w:p>
      <w:r>
        <w:rPr>
          <w:rFonts w:hint="eastAsia"/>
        </w:rPr>
        <w:t>12.投资效益分析：项目投资估算、经济效益、社会效益分析、风险评估；</w:t>
      </w:r>
    </w:p>
    <w:p>
      <w:r>
        <w:rPr>
          <w:rFonts w:hint="eastAsia"/>
        </w:rPr>
        <w:t>13.结论及建议；</w:t>
      </w:r>
    </w:p>
    <w:p>
      <w:r>
        <w:rPr>
          <w:rFonts w:hint="eastAsia"/>
        </w:rPr>
        <w:t>3.2.2技术要求</w:t>
      </w:r>
    </w:p>
    <w:p>
      <w:r>
        <w:rPr>
          <w:rFonts w:hint="eastAsia"/>
        </w:rPr>
        <w:t>1.图文并茂；</w:t>
      </w:r>
    </w:p>
    <w:p>
      <w:r>
        <w:rPr>
          <w:rFonts w:hint="eastAsia"/>
        </w:rPr>
        <w:t>2.达到项目策划方案深度要求；</w:t>
      </w:r>
    </w:p>
    <w:p>
      <w:pPr>
        <w:ind w:firstLine="562"/>
        <w:rPr>
          <w:b/>
          <w:bCs/>
        </w:rPr>
      </w:pPr>
      <w:r>
        <w:rPr>
          <w:rFonts w:hint="eastAsia"/>
          <w:b/>
          <w:bCs/>
        </w:rPr>
        <w:t>3.3项目建筑设计方案</w:t>
      </w:r>
    </w:p>
    <w:p>
      <w:r>
        <w:rPr>
          <w:rFonts w:hint="eastAsia"/>
        </w:rPr>
        <w:t>3.3.1设计图纸</w:t>
      </w:r>
    </w:p>
    <w:p>
      <w:r>
        <w:rPr>
          <w:rFonts w:hint="eastAsia"/>
        </w:rPr>
        <w:t>1.总平面设计图</w:t>
      </w:r>
    </w:p>
    <w:p>
      <w:r>
        <w:rPr>
          <w:rFonts w:hint="eastAsia"/>
        </w:rPr>
        <w:t>总平面布置图应包含竖向、消防、绿化、综合管网等分项总平面布置图。区域位置、用地范围、场地内及四邻环境，场地内拟建道路、停车场、广场、绿地及建筑物的布置，建筑物与用地界线及相邻建筑物之间距离。拟建主要建筑物名称、出入口、层数与设计标高；主要道路、广场的控制标高；指北针和风玫瑰图及比例；剖面分析图等。总平面分析图还应包含：物流交通专项分析图、仓库冷链专项分析图、功能分区分析图、景观设计分析图、</w:t>
      </w:r>
      <w:r>
        <w:rPr>
          <w:rFonts w:hint="eastAsia" w:ascii="宋体" w:hAnsi="宋体"/>
          <w:szCs w:val="21"/>
        </w:rPr>
        <w:t>海绵城市设计分析图</w:t>
      </w:r>
      <w:r>
        <w:rPr>
          <w:rFonts w:hint="eastAsia"/>
        </w:rPr>
        <w:t>等。</w:t>
      </w:r>
    </w:p>
    <w:p>
      <w:r>
        <w:rPr>
          <w:rFonts w:hint="eastAsia"/>
        </w:rPr>
        <w:t>2.</w:t>
      </w:r>
      <w:r>
        <w:t>建筑设计图</w:t>
      </w:r>
    </w:p>
    <w:p>
      <w:r>
        <w:t>（1）平面图内容：平面总尺寸、开间、进深尺寸、</w:t>
      </w:r>
      <w:r>
        <w:rPr>
          <w:rFonts w:hint="eastAsia"/>
        </w:rPr>
        <w:t>柱网</w:t>
      </w:r>
      <w:r>
        <w:t>尺寸；主要使用房间名称；结构受力体系中的柱网、承重墙的位置；各楼层、地面</w:t>
      </w:r>
      <w:r>
        <w:rPr>
          <w:rFonts w:hint="eastAsia"/>
        </w:rPr>
        <w:t>、</w:t>
      </w:r>
      <w:r>
        <w:t>屋面标高；室内停车库停车位和行车</w:t>
      </w:r>
      <w:r>
        <w:rPr>
          <w:rFonts w:hint="eastAsia"/>
        </w:rPr>
        <w:t>线路；各层消防疏散线路</w:t>
      </w:r>
      <w:r>
        <w:t>；底层平面图表明剖切线位置和编号并有指北针；必要性绘制主要用房放大平面和室内布置</w:t>
      </w:r>
      <w:r>
        <w:rPr>
          <w:rFonts w:hint="eastAsia"/>
        </w:rPr>
        <w:t>；分层面积指标</w:t>
      </w:r>
      <w:r>
        <w:t>。</w:t>
      </w:r>
    </w:p>
    <w:p>
      <w:r>
        <w:t>（2）立面图内容：体现建筑造型的特点，主要部位和最高点标高、主体总高度；与相邻建筑有直接关系、绘制相邻或原有建筑的局部立面图；图纸名称、比例和比例尺。</w:t>
      </w:r>
    </w:p>
    <w:p>
      <w:r>
        <w:t>（3）剖面图内容：剖面应剖高度和层数不同、空间关系比较复杂的部位；</w:t>
      </w:r>
      <w:r>
        <w:rPr>
          <w:rFonts w:hint="eastAsia"/>
        </w:rPr>
        <w:t>各层标高及室外地面标高、室外地面至建筑檐口（女儿墙）的总高度；有高度控制时标最高点标高；剖面编号、比例或比例尺。</w:t>
      </w:r>
    </w:p>
    <w:p>
      <w:r>
        <w:rPr>
          <w:rFonts w:hint="eastAsia"/>
        </w:rPr>
        <w:t>（4）表现图：整体鸟瞰、主要节点透视图、单体建筑透视图。</w:t>
      </w:r>
    </w:p>
    <w:p>
      <w:r>
        <w:rPr>
          <w:rFonts w:hint="eastAsia"/>
        </w:rPr>
        <w:t>（5）建筑规划设计分析图：总平（彩平）、功能分区、空间组合及景观分析、交通分析、消防分析、地形分析、竖向设计分析、日照分析、分期建设等。</w:t>
      </w:r>
    </w:p>
    <w:p>
      <w:r>
        <w:rPr>
          <w:rFonts w:hint="eastAsia"/>
        </w:rPr>
        <w:t>3.3.2方案文本说明</w:t>
      </w:r>
    </w:p>
    <w:p>
      <w:pPr>
        <w:topLinePunct/>
        <w:spacing w:line="288" w:lineRule="auto"/>
        <w:ind w:firstLine="562"/>
        <w:rPr>
          <w:rFonts w:ascii="黑体" w:hAnsi="宋体" w:eastAsia="黑体"/>
          <w:b/>
        </w:rPr>
      </w:pPr>
      <w:r>
        <w:rPr>
          <w:rFonts w:hint="eastAsia" w:ascii="黑体" w:hAnsi="宋体" w:eastAsia="黑体"/>
          <w:b/>
        </w:rPr>
        <w:t>1.</w:t>
      </w:r>
      <w:r>
        <w:rPr>
          <w:rFonts w:hint="eastAsia"/>
        </w:rPr>
        <w:t>设计依据、设计要求及</w:t>
      </w:r>
      <w:r>
        <w:rPr>
          <w:rFonts w:hint="eastAsia" w:ascii="宋体"/>
        </w:rPr>
        <w:t>主要技术经济指标。</w:t>
      </w:r>
    </w:p>
    <w:p>
      <w:pPr>
        <w:topLinePunct/>
        <w:spacing w:line="288" w:lineRule="auto"/>
        <w:ind w:firstLine="562"/>
        <w:rPr>
          <w:rFonts w:ascii="宋体"/>
        </w:rPr>
      </w:pPr>
      <w:r>
        <w:rPr>
          <w:rFonts w:hint="eastAsia" w:ascii="黑体" w:eastAsia="黑体"/>
          <w:b/>
          <w:bCs/>
        </w:rPr>
        <w:t>2.</w:t>
      </w:r>
      <w:r>
        <w:rPr>
          <w:rFonts w:hint="eastAsia" w:ascii="宋体"/>
        </w:rPr>
        <w:t>总平面设计说明。</w:t>
      </w:r>
    </w:p>
    <w:p>
      <w:pPr>
        <w:topLinePunct/>
        <w:spacing w:line="288" w:lineRule="auto"/>
        <w:ind w:firstLine="562"/>
      </w:pPr>
      <w:r>
        <w:rPr>
          <w:rFonts w:hint="eastAsia" w:ascii="黑体"/>
          <w:b/>
        </w:rPr>
        <w:t>3.</w:t>
      </w:r>
      <w:r>
        <w:rPr>
          <w:rFonts w:hint="eastAsia"/>
        </w:rPr>
        <w:t>建筑设计说明。</w:t>
      </w:r>
    </w:p>
    <w:p>
      <w:pPr>
        <w:topLinePunct/>
        <w:spacing w:line="288" w:lineRule="auto"/>
        <w:ind w:firstLine="562"/>
        <w:rPr>
          <w:rFonts w:ascii="宋体" w:hAnsi="宋体"/>
        </w:rPr>
      </w:pPr>
      <w:r>
        <w:rPr>
          <w:rFonts w:hint="eastAsia" w:ascii="黑体" w:hAnsi="宋体" w:eastAsia="黑体"/>
          <w:b/>
          <w:bCs/>
        </w:rPr>
        <w:t>4.</w:t>
      </w:r>
      <w:r>
        <w:rPr>
          <w:rFonts w:hint="eastAsia" w:ascii="宋体" w:hAnsi="宋体"/>
        </w:rPr>
        <w:t>结构设计说明。</w:t>
      </w:r>
    </w:p>
    <w:p>
      <w:pPr>
        <w:topLinePunct/>
        <w:spacing w:line="288" w:lineRule="auto"/>
        <w:ind w:firstLine="562"/>
        <w:rPr>
          <w:rFonts w:ascii="宋体" w:hAnsi="宋体"/>
          <w:szCs w:val="21"/>
        </w:rPr>
      </w:pPr>
      <w:r>
        <w:rPr>
          <w:rFonts w:hint="eastAsia" w:ascii="黑体" w:hAnsi="宋体" w:eastAsia="黑体"/>
          <w:b/>
          <w:szCs w:val="21"/>
        </w:rPr>
        <w:t>5.</w:t>
      </w:r>
      <w:r>
        <w:rPr>
          <w:rFonts w:hint="eastAsia" w:ascii="宋体" w:hAnsi="宋体"/>
          <w:szCs w:val="21"/>
        </w:rPr>
        <w:t>建筑电气设计说明。</w:t>
      </w:r>
    </w:p>
    <w:p>
      <w:pPr>
        <w:topLinePunct/>
        <w:spacing w:line="288" w:lineRule="auto"/>
        <w:ind w:firstLine="562"/>
        <w:rPr>
          <w:rFonts w:ascii="宋体" w:hAnsi="宋体"/>
          <w:szCs w:val="21"/>
        </w:rPr>
      </w:pPr>
      <w:r>
        <w:rPr>
          <w:rFonts w:hint="eastAsia" w:ascii="黑体" w:hAnsi="宋体" w:eastAsia="黑体"/>
          <w:b/>
          <w:szCs w:val="21"/>
        </w:rPr>
        <w:t>6.</w:t>
      </w:r>
      <w:r>
        <w:rPr>
          <w:rFonts w:hint="eastAsia" w:ascii="宋体" w:hAnsi="宋体"/>
          <w:szCs w:val="21"/>
        </w:rPr>
        <w:t>给水排水设计说明。</w:t>
      </w:r>
    </w:p>
    <w:p>
      <w:pPr>
        <w:topLinePunct/>
        <w:spacing w:line="288" w:lineRule="auto"/>
        <w:ind w:firstLine="562"/>
      </w:pPr>
      <w:r>
        <w:rPr>
          <w:rFonts w:hint="eastAsia" w:ascii="黑体"/>
          <w:b/>
        </w:rPr>
        <w:t>7</w:t>
      </w:r>
      <w:r>
        <w:rPr>
          <w:rFonts w:hint="eastAsia"/>
        </w:rPr>
        <w:t>.</w:t>
      </w:r>
      <w:r>
        <w:rPr>
          <w:rFonts w:hint="eastAsia" w:ascii="宋体" w:hAnsi="宋体"/>
          <w:szCs w:val="21"/>
        </w:rPr>
        <w:t>供暖通风与空</w:t>
      </w:r>
      <w:r>
        <w:rPr>
          <w:rFonts w:hint="eastAsia"/>
        </w:rPr>
        <w:t>气调节设计说明。</w:t>
      </w:r>
    </w:p>
    <w:p>
      <w:pPr>
        <w:spacing w:line="288" w:lineRule="auto"/>
        <w:ind w:firstLine="562"/>
        <w:rPr>
          <w:rFonts w:ascii="宋体" w:hAnsi="宋体"/>
          <w:szCs w:val="21"/>
        </w:rPr>
      </w:pPr>
      <w:r>
        <w:rPr>
          <w:rFonts w:hint="eastAsia" w:ascii="黑体" w:hAnsi="宋体" w:eastAsia="黑体"/>
          <w:b/>
          <w:szCs w:val="21"/>
        </w:rPr>
        <w:t>8.</w:t>
      </w:r>
      <w:r>
        <w:rPr>
          <w:rFonts w:hint="eastAsia" w:ascii="宋体" w:hAnsi="宋体"/>
          <w:szCs w:val="21"/>
        </w:rPr>
        <w:t>仓库冷链及热能动力设计分析说明。</w:t>
      </w:r>
    </w:p>
    <w:p>
      <w:pPr>
        <w:spacing w:line="288" w:lineRule="auto"/>
        <w:rPr>
          <w:rFonts w:ascii="宋体" w:hAnsi="宋体"/>
          <w:szCs w:val="21"/>
        </w:rPr>
      </w:pPr>
      <w:r>
        <w:rPr>
          <w:rFonts w:hint="eastAsia" w:ascii="黑体" w:hAnsiTheme="minorHAnsi"/>
          <w:b/>
          <w:szCs w:val="28"/>
        </w:rPr>
        <w:t>9.</w:t>
      </w:r>
      <w:r>
        <w:rPr>
          <w:rFonts w:hint="eastAsia" w:ascii="宋体" w:hAnsi="宋体"/>
          <w:szCs w:val="21"/>
        </w:rPr>
        <w:t>环保及食品加工排污专项设计说明</w:t>
      </w:r>
    </w:p>
    <w:p>
      <w:pPr>
        <w:spacing w:line="288" w:lineRule="auto"/>
        <w:rPr>
          <w:rFonts w:ascii="宋体" w:hAnsi="宋体"/>
          <w:szCs w:val="21"/>
        </w:rPr>
      </w:pPr>
      <w:r>
        <w:rPr>
          <w:rFonts w:hint="eastAsia" w:ascii="黑体" w:hAnsiTheme="minorHAnsi"/>
          <w:b/>
          <w:szCs w:val="28"/>
        </w:rPr>
        <w:t>10、</w:t>
      </w:r>
      <w:r>
        <w:rPr>
          <w:rFonts w:hint="eastAsia" w:ascii="宋体" w:hAnsi="宋体"/>
          <w:szCs w:val="21"/>
        </w:rPr>
        <w:t>绿色科技产业城（节约能源和水循环再利用、光伏、新建材、新技术等）</w:t>
      </w:r>
    </w:p>
    <w:p>
      <w:pPr>
        <w:spacing w:line="288" w:lineRule="auto"/>
        <w:rPr>
          <w:rFonts w:ascii="宋体" w:hAnsi="宋体"/>
          <w:szCs w:val="21"/>
        </w:rPr>
      </w:pPr>
      <w:r>
        <w:rPr>
          <w:rFonts w:hint="eastAsia" w:ascii="黑体" w:hAnsiTheme="minorHAnsi"/>
          <w:b/>
          <w:szCs w:val="28"/>
        </w:rPr>
        <w:t>11、</w:t>
      </w:r>
      <w:r>
        <w:rPr>
          <w:rFonts w:hint="eastAsia" w:ascii="宋体" w:hAnsi="宋体"/>
          <w:szCs w:val="21"/>
        </w:rPr>
        <w:t>海绵城市设计分析说明。</w:t>
      </w:r>
    </w:p>
    <w:p>
      <w:pPr>
        <w:spacing w:line="288" w:lineRule="auto"/>
        <w:rPr>
          <w:rFonts w:ascii="宋体" w:hAnsi="宋体"/>
          <w:szCs w:val="21"/>
        </w:rPr>
      </w:pPr>
      <w:r>
        <w:rPr>
          <w:rFonts w:hint="eastAsia" w:ascii="黑体" w:hAnsiTheme="minorHAnsi"/>
          <w:b/>
          <w:szCs w:val="28"/>
        </w:rPr>
        <w:t>12、</w:t>
      </w:r>
      <w:r>
        <w:rPr>
          <w:rFonts w:hint="eastAsia" w:ascii="宋体" w:hAnsi="宋体"/>
          <w:szCs w:val="21"/>
        </w:rPr>
        <w:t>装配式建筑设计分析说明。</w:t>
      </w:r>
    </w:p>
    <w:p>
      <w:pPr>
        <w:spacing w:line="288" w:lineRule="auto"/>
        <w:rPr>
          <w:rFonts w:ascii="宋体" w:hAnsi="宋体"/>
          <w:szCs w:val="21"/>
        </w:rPr>
      </w:pPr>
      <w:r>
        <w:rPr>
          <w:rFonts w:hint="eastAsia" w:ascii="黑体" w:hAnsiTheme="minorHAnsi"/>
          <w:b/>
          <w:szCs w:val="28"/>
        </w:rPr>
        <w:t>13、</w:t>
      </w:r>
      <w:r>
        <w:rPr>
          <w:rFonts w:hint="eastAsia" w:ascii="宋体" w:hAnsi="宋体"/>
          <w:szCs w:val="21"/>
        </w:rPr>
        <w:t>智能化、智慧化产业园区设计分析说明。</w:t>
      </w:r>
    </w:p>
    <w:p>
      <w:pPr>
        <w:spacing w:line="288" w:lineRule="auto"/>
        <w:rPr>
          <w:rFonts w:ascii="宋体" w:hAnsi="宋体"/>
          <w:szCs w:val="21"/>
        </w:rPr>
      </w:pPr>
      <w:r>
        <w:rPr>
          <w:rFonts w:hint="eastAsia" w:ascii="黑体" w:hAnsiTheme="minorHAnsi"/>
          <w:b/>
          <w:szCs w:val="28"/>
        </w:rPr>
        <w:t>14</w:t>
      </w:r>
      <w:r>
        <w:rPr>
          <w:rFonts w:hint="eastAsia" w:ascii="宋体" w:hAnsi="宋体"/>
          <w:szCs w:val="21"/>
        </w:rPr>
        <w:t>、物流配送及交通组织设计分析说明</w:t>
      </w:r>
    </w:p>
    <w:p>
      <w:pPr>
        <w:ind w:firstLine="562"/>
        <w:rPr>
          <w:szCs w:val="21"/>
        </w:rPr>
      </w:pPr>
      <w:r>
        <w:rPr>
          <w:rFonts w:hint="eastAsia" w:ascii="黑体" w:eastAsia="黑体"/>
          <w:b/>
          <w:szCs w:val="21"/>
        </w:rPr>
        <w:t>15.</w:t>
      </w:r>
      <w:r>
        <w:rPr>
          <w:rFonts w:hint="eastAsia"/>
          <w:szCs w:val="21"/>
        </w:rPr>
        <w:t>投资估算</w:t>
      </w:r>
    </w:p>
    <w:p>
      <w:pPr>
        <w:ind w:firstLine="562"/>
        <w:rPr>
          <w:b/>
          <w:bCs/>
        </w:rPr>
      </w:pPr>
      <w:r>
        <w:rPr>
          <w:rFonts w:hint="eastAsia"/>
          <w:b/>
          <w:bCs/>
        </w:rPr>
        <w:t>3.4项目可研报告</w:t>
      </w:r>
    </w:p>
    <w:p>
      <w:r>
        <w:rPr>
          <w:rFonts w:hint="eastAsia"/>
        </w:rPr>
        <w:t>3.4.1项目可研报告内容</w:t>
      </w:r>
    </w:p>
    <w:p>
      <w:r>
        <w:rPr>
          <w:rFonts w:hint="eastAsia"/>
        </w:rPr>
        <w:t>1.总论：项目概况、编制依据、编制时间及单位、主要结论、经济技术指标一览表；</w:t>
      </w:r>
    </w:p>
    <w:p>
      <w:r>
        <w:rPr>
          <w:rFonts w:hint="eastAsia"/>
        </w:rPr>
        <w:t>2.项目建设单位及运营单位；</w:t>
      </w:r>
    </w:p>
    <w:p>
      <w:r>
        <w:rPr>
          <w:rFonts w:hint="eastAsia"/>
        </w:rPr>
        <w:t>3.项目建设意义：项目建设必要性、意义及可行性；</w:t>
      </w:r>
    </w:p>
    <w:p>
      <w:r>
        <w:rPr>
          <w:rFonts w:hint="eastAsia"/>
        </w:rPr>
        <w:t>4.项目用地现状：区位、交通、用地、产业及上位规划；</w:t>
      </w:r>
    </w:p>
    <w:p>
      <w:r>
        <w:rPr>
          <w:rFonts w:hint="eastAsia"/>
        </w:rPr>
        <w:t>5.项目市场分析：全国及重庆市花椒、调味品食品和农副产品市场分析、项目需求分析；</w:t>
      </w:r>
    </w:p>
    <w:p>
      <w:r>
        <w:rPr>
          <w:rFonts w:hint="eastAsia"/>
        </w:rPr>
        <w:t>6.项目建设内容：</w:t>
      </w:r>
      <w:r>
        <w:t>集花椒</w:t>
      </w:r>
      <w:r>
        <w:rPr>
          <w:rFonts w:hint="eastAsia"/>
        </w:rPr>
        <w:t>及食品调味品</w:t>
      </w:r>
      <w:r>
        <w:t>现代流通</w:t>
      </w:r>
      <w:r>
        <w:rPr>
          <w:rFonts w:hint="eastAsia"/>
        </w:rPr>
        <w:t>、</w:t>
      </w:r>
      <w:r>
        <w:t>加工</w:t>
      </w:r>
      <w:r>
        <w:rPr>
          <w:rFonts w:hint="eastAsia"/>
        </w:rPr>
        <w:t>、</w:t>
      </w:r>
      <w:r>
        <w:t>物流及</w:t>
      </w:r>
      <w:r>
        <w:rPr>
          <w:rFonts w:hint="eastAsia"/>
        </w:rPr>
        <w:t>配套</w:t>
      </w:r>
      <w:r>
        <w:t>为一体的新型产业综合体</w:t>
      </w:r>
      <w:r>
        <w:rPr>
          <w:rFonts w:hint="eastAsia"/>
        </w:rPr>
        <w:t>；</w:t>
      </w:r>
    </w:p>
    <w:p>
      <w:r>
        <w:rPr>
          <w:rFonts w:hint="eastAsia"/>
        </w:rPr>
        <w:t>7.项目总平面规划布局：总平面规划、建筑设计、结构设计；</w:t>
      </w:r>
    </w:p>
    <w:p>
      <w:r>
        <w:rPr>
          <w:rFonts w:hint="eastAsia"/>
        </w:rPr>
        <w:t>8.项目公用工程：给排水、供配电、通信、暖通等；</w:t>
      </w:r>
    </w:p>
    <w:p>
      <w:r>
        <w:rPr>
          <w:rFonts w:hint="eastAsia"/>
        </w:rPr>
        <w:t>9.项目环境保护：施工期和运营期主要污染物及处理措施；</w:t>
      </w:r>
    </w:p>
    <w:p>
      <w:r>
        <w:rPr>
          <w:rFonts w:hint="eastAsia"/>
        </w:rPr>
        <w:t>10.项目节能节水：主要建筑、设备节能、</w:t>
      </w:r>
      <w:r>
        <w:rPr>
          <w:rFonts w:hint="eastAsia" w:ascii="宋体" w:hAnsi="宋体"/>
          <w:szCs w:val="21"/>
        </w:rPr>
        <w:t>新能源利用</w:t>
      </w:r>
      <w:r>
        <w:rPr>
          <w:rFonts w:hint="eastAsia"/>
        </w:rPr>
        <w:t>及节水措施；</w:t>
      </w:r>
    </w:p>
    <w:p>
      <w:r>
        <w:rPr>
          <w:rFonts w:hint="eastAsia"/>
        </w:rPr>
        <w:t>11.消防措施；</w:t>
      </w:r>
    </w:p>
    <w:p>
      <w:r>
        <w:rPr>
          <w:rFonts w:hint="eastAsia"/>
        </w:rPr>
        <w:t>12.劳动安全：施工及运营管理、人员及劳动安全；</w:t>
      </w:r>
    </w:p>
    <w:p>
      <w:r>
        <w:rPr>
          <w:rFonts w:hint="eastAsia"/>
        </w:rPr>
        <w:t>13.项目信息化建设方案（数字经济产业建设及智慧园区）；</w:t>
      </w:r>
    </w:p>
    <w:p>
      <w:r>
        <w:rPr>
          <w:rFonts w:hint="eastAsia"/>
        </w:rPr>
        <w:t>14.项目招投标方案（EPC招标模式）；</w:t>
      </w:r>
    </w:p>
    <w:p>
      <w:r>
        <w:rPr>
          <w:rFonts w:hint="eastAsia"/>
        </w:rPr>
        <w:t>15.项目建设进度：建设周期及分期建设内容；</w:t>
      </w:r>
    </w:p>
    <w:p>
      <w:r>
        <w:rPr>
          <w:rFonts w:hint="eastAsia"/>
        </w:rPr>
        <w:t>16.项目投资估算：投资估算及资金筹措；</w:t>
      </w:r>
    </w:p>
    <w:p>
      <w:r>
        <w:rPr>
          <w:rFonts w:hint="eastAsia"/>
        </w:rPr>
        <w:t>17.项目财务测算、收入、成本、利润及财务分析；</w:t>
      </w:r>
    </w:p>
    <w:p>
      <w:r>
        <w:rPr>
          <w:rFonts w:hint="eastAsia"/>
        </w:rPr>
        <w:t>18.项目社会效益分析；</w:t>
      </w:r>
    </w:p>
    <w:p>
      <w:r>
        <w:rPr>
          <w:rFonts w:hint="eastAsia"/>
        </w:rPr>
        <w:t>19.项目风险分析；</w:t>
      </w:r>
    </w:p>
    <w:p>
      <w:r>
        <w:rPr>
          <w:rFonts w:hint="eastAsia"/>
        </w:rPr>
        <w:t>20.结论及建议；</w:t>
      </w:r>
    </w:p>
    <w:p>
      <w:r>
        <w:rPr>
          <w:rFonts w:hint="eastAsia"/>
        </w:rPr>
        <w:t>3.4.2技术要求</w:t>
      </w:r>
    </w:p>
    <w:p>
      <w:pPr>
        <w:numPr>
          <w:ilvl w:val="255"/>
          <w:numId w:val="0"/>
        </w:numPr>
        <w:ind w:firstLine="560" w:firstLineChars="200"/>
      </w:pPr>
      <w:r>
        <w:rPr>
          <w:rFonts w:hint="eastAsia"/>
        </w:rPr>
        <w:t>1.达到国家可研报告相关要求；</w:t>
      </w:r>
    </w:p>
    <w:p>
      <w:pPr>
        <w:numPr>
          <w:ilvl w:val="255"/>
          <w:numId w:val="0"/>
        </w:numPr>
        <w:ind w:firstLine="560" w:firstLineChars="200"/>
      </w:pPr>
      <w:r>
        <w:rPr>
          <w:rFonts w:hint="eastAsia"/>
        </w:rPr>
        <w:t>2.满足区国资委对国际花椒产业城项目备案、国有企业投资管理、项目公司成立等硬性条件要求；</w:t>
      </w:r>
    </w:p>
    <w:p>
      <w:pPr>
        <w:numPr>
          <w:ilvl w:val="255"/>
          <w:numId w:val="0"/>
        </w:numPr>
        <w:ind w:firstLine="560" w:firstLineChars="200"/>
      </w:pPr>
      <w:r>
        <w:rPr>
          <w:rFonts w:hint="eastAsia"/>
        </w:rPr>
        <w:t>3.满足本项目拟实施的EPC招标及评标要求；</w:t>
      </w:r>
    </w:p>
    <w:p>
      <w:pPr>
        <w:numPr>
          <w:ilvl w:val="255"/>
          <w:numId w:val="0"/>
        </w:numPr>
        <w:ind w:firstLine="560" w:firstLineChars="200"/>
      </w:pPr>
      <w:r>
        <w:rPr>
          <w:rFonts w:hint="eastAsia"/>
        </w:rPr>
        <w:t>4.满足项目建设方案设计与可研报告相互对应要求；</w:t>
      </w:r>
    </w:p>
    <w:p>
      <w:pPr>
        <w:numPr>
          <w:ilvl w:val="255"/>
          <w:numId w:val="0"/>
        </w:numPr>
        <w:ind w:firstLine="560" w:firstLineChars="200"/>
      </w:pPr>
      <w:r>
        <w:rPr>
          <w:rFonts w:hint="eastAsia"/>
        </w:rPr>
        <w:t>5.通过专家评审。</w:t>
      </w:r>
    </w:p>
    <w:p>
      <w:pPr>
        <w:ind w:firstLine="0" w:firstLineChars="0"/>
        <w:rPr>
          <w:rFonts w:ascii="黑体" w:hAnsi="黑体" w:eastAsia="黑体" w:cs="黑体"/>
          <w:b/>
          <w:bCs/>
          <w:sz w:val="32"/>
          <w:szCs w:val="32"/>
        </w:rPr>
      </w:pPr>
      <w:r>
        <w:rPr>
          <w:rFonts w:hint="eastAsia" w:ascii="黑体" w:hAnsi="黑体" w:eastAsia="黑体" w:cs="黑体"/>
          <w:b/>
          <w:bCs/>
          <w:sz w:val="32"/>
          <w:szCs w:val="32"/>
        </w:rPr>
        <w:t>四、服务时间进度要求</w:t>
      </w:r>
    </w:p>
    <w:p>
      <w:r>
        <w:rPr>
          <w:rFonts w:hint="eastAsia"/>
        </w:rPr>
        <w:t>项目可行性研究报告编制服务共分成四个阶段，分阶段提交成果。</w:t>
      </w:r>
    </w:p>
    <w:p>
      <w:pPr>
        <w:ind w:firstLine="562"/>
        <w:rPr>
          <w:b/>
          <w:bCs/>
        </w:rPr>
      </w:pPr>
      <w:r>
        <w:rPr>
          <w:rFonts w:hint="eastAsia"/>
          <w:b/>
          <w:bCs/>
        </w:rPr>
        <w:t>4.1项目可行性研究报告编制服务周期</w:t>
      </w:r>
    </w:p>
    <w:p>
      <w:r>
        <w:rPr>
          <w:rFonts w:hint="eastAsia"/>
        </w:rPr>
        <w:t>共计55天，从签订合同，首付款到账起算。</w:t>
      </w:r>
    </w:p>
    <w:p>
      <w:pPr>
        <w:ind w:firstLine="562"/>
        <w:rPr>
          <w:b/>
          <w:bCs/>
        </w:rPr>
      </w:pPr>
      <w:r>
        <w:rPr>
          <w:rFonts w:hint="eastAsia"/>
          <w:b/>
          <w:bCs/>
        </w:rPr>
        <w:t>4.2项目阶段成果提交时间</w:t>
      </w:r>
    </w:p>
    <w:p>
      <w:r>
        <w:rPr>
          <w:rFonts w:hint="eastAsia"/>
        </w:rPr>
        <w:t>4.2.1市场调研报告</w:t>
      </w:r>
    </w:p>
    <w:p>
      <w:r>
        <w:rPr>
          <w:rFonts w:hint="eastAsia"/>
        </w:rPr>
        <w:t>签订合同首付款到账15日。</w:t>
      </w:r>
    </w:p>
    <w:p>
      <w:r>
        <w:rPr>
          <w:rFonts w:hint="eastAsia"/>
        </w:rPr>
        <w:t>4.2.2项目策划</w:t>
      </w:r>
    </w:p>
    <w:p>
      <w:r>
        <w:rPr>
          <w:rFonts w:hint="eastAsia"/>
        </w:rPr>
        <w:t>市场调研报告提交后10日。</w:t>
      </w:r>
    </w:p>
    <w:p>
      <w:r>
        <w:rPr>
          <w:rFonts w:hint="eastAsia"/>
        </w:rPr>
        <w:t>4.2.3建筑方案设计</w:t>
      </w:r>
    </w:p>
    <w:p>
      <w:r>
        <w:rPr>
          <w:rFonts w:hint="eastAsia"/>
        </w:rPr>
        <w:t>项目策划方案提交后20日。</w:t>
      </w:r>
    </w:p>
    <w:p>
      <w:r>
        <w:rPr>
          <w:rFonts w:hint="eastAsia"/>
        </w:rPr>
        <w:t>4.2.4可研报告</w:t>
      </w:r>
    </w:p>
    <w:p>
      <w:r>
        <w:rPr>
          <w:rFonts w:hint="eastAsia"/>
        </w:rPr>
        <w:t>项目建筑方案规委会通过后10日。</w:t>
      </w:r>
    </w:p>
    <w:p>
      <w:pPr>
        <w:ind w:firstLine="0" w:firstLineChars="0"/>
        <w:rPr>
          <w:rFonts w:ascii="黑体" w:hAnsi="黑体" w:eastAsia="黑体" w:cs="黑体"/>
          <w:b/>
          <w:bCs/>
          <w:sz w:val="32"/>
          <w:szCs w:val="32"/>
        </w:rPr>
      </w:pPr>
      <w:r>
        <w:rPr>
          <w:rFonts w:hint="eastAsia" w:ascii="黑体" w:hAnsi="黑体" w:eastAsia="黑体" w:cs="黑体"/>
          <w:b/>
          <w:bCs/>
          <w:sz w:val="32"/>
          <w:szCs w:val="32"/>
        </w:rPr>
        <w:t>五、甲方需提供资料</w:t>
      </w:r>
    </w:p>
    <w:p>
      <w:pPr>
        <w:rPr>
          <w:rFonts w:ascii="仿宋_GB2312" w:eastAsia="仿宋_GB2312"/>
          <w:color w:val="000000"/>
          <w:szCs w:val="21"/>
        </w:rPr>
      </w:pPr>
      <w:r>
        <w:rPr>
          <w:rFonts w:hint="eastAsia" w:ascii="仿宋_GB2312" w:eastAsia="仿宋_GB2312"/>
          <w:color w:val="000000"/>
          <w:szCs w:val="21"/>
        </w:rPr>
        <w:t>为保证乙方有效进行项目咨询工作，甲方应当向乙方提供下列协作事项：</w:t>
      </w:r>
    </w:p>
    <w:p>
      <w:pPr>
        <w:ind w:firstLine="551" w:firstLineChars="196"/>
        <w:rPr>
          <w:rFonts w:ascii="仿宋_GB2312" w:eastAsia="仿宋_GB2312"/>
          <w:color w:val="000000"/>
          <w:szCs w:val="21"/>
        </w:rPr>
      </w:pPr>
      <w:r>
        <w:rPr>
          <w:rFonts w:hint="eastAsia" w:ascii="仿宋_GB2312" w:eastAsia="仿宋_GB2312"/>
          <w:b/>
          <w:bCs/>
          <w:color w:val="000000"/>
          <w:szCs w:val="21"/>
        </w:rPr>
        <w:t>5.1</w:t>
      </w:r>
      <w:r>
        <w:rPr>
          <w:rFonts w:hint="eastAsia" w:ascii="仿宋_GB2312" w:eastAsia="仿宋_GB2312"/>
          <w:color w:val="000000"/>
          <w:szCs w:val="21"/>
        </w:rPr>
        <w:t>提供技术资料</w:t>
      </w:r>
    </w:p>
    <w:p>
      <w:pPr>
        <w:ind w:firstLine="548" w:firstLineChars="196"/>
        <w:rPr>
          <w:rFonts w:ascii="仿宋_GB2312" w:eastAsia="仿宋_GB2312"/>
          <w:szCs w:val="21"/>
        </w:rPr>
      </w:pPr>
      <w:r>
        <w:rPr>
          <w:rFonts w:hint="eastAsia" w:ascii="仿宋_GB2312" w:eastAsia="仿宋_GB2312"/>
          <w:szCs w:val="21"/>
        </w:rPr>
        <w:t>5.1.1项目红线图、规划控制性指标、区位图、地形图、控制性详细规划及设计指标要求、建筑设计图纸、</w:t>
      </w:r>
    </w:p>
    <w:p>
      <w:pPr>
        <w:ind w:firstLine="548" w:firstLineChars="196"/>
        <w:rPr>
          <w:rFonts w:ascii="仿宋_GB2312" w:eastAsia="仿宋_GB2312"/>
          <w:color w:val="000000"/>
          <w:szCs w:val="21"/>
        </w:rPr>
      </w:pPr>
      <w:r>
        <w:rPr>
          <w:rFonts w:hint="eastAsia" w:ascii="仿宋_GB2312" w:eastAsia="仿宋_GB2312"/>
          <w:szCs w:val="21"/>
        </w:rPr>
        <w:t>5.1.2协助乙方了解政府相关政策；</w:t>
      </w:r>
    </w:p>
    <w:p>
      <w:pPr>
        <w:rPr>
          <w:rFonts w:ascii="仿宋_GB2312" w:eastAsia="仿宋_GB2312"/>
          <w:szCs w:val="21"/>
        </w:rPr>
      </w:pPr>
      <w:r>
        <w:rPr>
          <w:rFonts w:hint="eastAsia" w:ascii="仿宋_GB2312" w:eastAsia="仿宋_GB2312"/>
          <w:color w:val="000000"/>
          <w:szCs w:val="21"/>
        </w:rPr>
        <w:t>5.1.3项目</w:t>
      </w:r>
      <w:r>
        <w:rPr>
          <w:rFonts w:hint="eastAsia" w:ascii="仿宋_GB2312" w:eastAsia="仿宋_GB2312"/>
          <w:szCs w:val="21"/>
        </w:rPr>
        <w:t>工程建设相关的批文；</w:t>
      </w:r>
    </w:p>
    <w:p>
      <w:pPr>
        <w:rPr>
          <w:rFonts w:ascii="仿宋_GB2312" w:eastAsia="仿宋_GB2312"/>
          <w:szCs w:val="21"/>
        </w:rPr>
      </w:pPr>
      <w:r>
        <w:rPr>
          <w:rFonts w:hint="eastAsia" w:ascii="仿宋_GB2312" w:eastAsia="仿宋_GB2312"/>
          <w:szCs w:val="21"/>
        </w:rPr>
        <w:t>5.1.4项目建设环境影响评价报告、地灾评价等；</w:t>
      </w:r>
    </w:p>
    <w:p>
      <w:pPr>
        <w:rPr>
          <w:rFonts w:ascii="仿宋_GB2312" w:eastAsia="仿宋_GB2312"/>
          <w:szCs w:val="21"/>
        </w:rPr>
      </w:pPr>
      <w:r>
        <w:rPr>
          <w:rFonts w:hint="eastAsia" w:ascii="仿宋_GB2312" w:eastAsia="仿宋_GB2312"/>
          <w:szCs w:val="21"/>
        </w:rPr>
        <w:t>5.1.5其他相关资料：包括统计年鉴、行业年鉴、甲方前期搜集资料等。</w:t>
      </w:r>
    </w:p>
    <w:p>
      <w:pPr>
        <w:ind w:firstLine="562"/>
        <w:rPr>
          <w:rFonts w:ascii="仿宋_GB2312" w:eastAsia="仿宋_GB2312"/>
          <w:color w:val="000000"/>
          <w:szCs w:val="21"/>
        </w:rPr>
      </w:pPr>
      <w:r>
        <w:rPr>
          <w:rFonts w:hint="eastAsia" w:ascii="仿宋_GB2312" w:eastAsia="仿宋_GB2312"/>
          <w:b/>
          <w:bCs/>
          <w:color w:val="000000"/>
          <w:szCs w:val="21"/>
        </w:rPr>
        <w:t>5.2</w:t>
      </w:r>
      <w:r>
        <w:rPr>
          <w:rFonts w:hint="eastAsia" w:ascii="仿宋_GB2312" w:eastAsia="仿宋_GB2312"/>
          <w:color w:val="000000"/>
          <w:szCs w:val="21"/>
        </w:rPr>
        <w:t>甲方要求及设想：以书面方式提交乙方。</w:t>
      </w:r>
    </w:p>
    <w:p>
      <w:pPr>
        <w:ind w:firstLine="562"/>
        <w:rPr>
          <w:rFonts w:ascii="仿宋_GB2312" w:eastAsia="仿宋_GB2312"/>
          <w:color w:val="000000"/>
          <w:szCs w:val="21"/>
        </w:rPr>
      </w:pPr>
      <w:r>
        <w:rPr>
          <w:rFonts w:hint="eastAsia" w:ascii="仿宋_GB2312" w:eastAsia="仿宋_GB2312"/>
          <w:b/>
          <w:bCs/>
          <w:color w:val="000000"/>
          <w:szCs w:val="21"/>
        </w:rPr>
        <w:t>5.3</w:t>
      </w:r>
      <w:r>
        <w:rPr>
          <w:rFonts w:hint="eastAsia" w:ascii="仿宋_GB2312" w:eastAsia="仿宋_GB2312"/>
          <w:color w:val="000000"/>
          <w:szCs w:val="21"/>
        </w:rPr>
        <w:t>甲方提供上述协作事项的时间及方式：安排专人参与联络和协调工作，与可研报告完成时间同步。</w:t>
      </w:r>
    </w:p>
    <w:p>
      <w:pPr>
        <w:ind w:firstLine="0" w:firstLineChars="0"/>
        <w:rPr>
          <w:rFonts w:ascii="黑体" w:hAnsi="黑体" w:eastAsia="黑体" w:cs="黑体"/>
          <w:b/>
          <w:bCs/>
          <w:sz w:val="32"/>
          <w:szCs w:val="32"/>
        </w:rPr>
      </w:pPr>
      <w:r>
        <w:rPr>
          <w:rFonts w:hint="eastAsia" w:ascii="黑体" w:hAnsi="黑体" w:eastAsia="黑体" w:cs="黑体"/>
          <w:b/>
          <w:bCs/>
          <w:sz w:val="32"/>
          <w:szCs w:val="32"/>
        </w:rPr>
        <w:t>六、甲方权利与义务</w:t>
      </w:r>
    </w:p>
    <w:p>
      <w:pPr>
        <w:widowControl/>
        <w:adjustRightInd w:val="0"/>
        <w:snapToGrid w:val="0"/>
        <w:ind w:firstLine="6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6.1甲方委托乙方按委托工作范围进行该项目咨询服务。如需要扩大范围，双方另行协商。</w:t>
      </w:r>
      <w:r>
        <w:rPr>
          <w:rFonts w:hint="eastAsia" w:ascii="仿宋_GB2312" w:hAnsi="宋体" w:eastAsia="仿宋_GB2312" w:cs="宋体"/>
          <w:color w:val="000000"/>
          <w:kern w:val="0"/>
          <w:sz w:val="30"/>
          <w:szCs w:val="30"/>
        </w:rPr>
        <w:br w:type="textWrapping"/>
      </w:r>
      <w:r>
        <w:rPr>
          <w:rFonts w:hint="eastAsia" w:ascii="仿宋_GB2312" w:hAnsi="宋体" w:eastAsia="仿宋_GB2312" w:cs="宋体"/>
          <w:color w:val="000000"/>
          <w:kern w:val="0"/>
          <w:sz w:val="30"/>
          <w:szCs w:val="30"/>
        </w:rPr>
        <w:t xml:space="preserve">    6.2甲方指派专人或工作小组与乙方对接，该专人或工作小组能代表甲方的正式意见。并协助乙方获取相关资料、收集相关意见。</w:t>
      </w:r>
    </w:p>
    <w:p>
      <w:pPr>
        <w:widowControl/>
        <w:adjustRightInd w:val="0"/>
        <w:snapToGrid w:val="0"/>
        <w:ind w:firstLine="6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xml:space="preserve"> 6.3甲方应按双方商定</w:t>
      </w:r>
      <w:bookmarkStart w:id="0" w:name="_GoBack"/>
      <w:bookmarkEnd w:id="0"/>
      <w:r>
        <w:rPr>
          <w:rFonts w:hint="eastAsia" w:ascii="仿宋_GB2312" w:hAnsi="宋体" w:eastAsia="仿宋_GB2312" w:cs="宋体"/>
          <w:color w:val="000000"/>
          <w:kern w:val="0"/>
          <w:sz w:val="30"/>
          <w:szCs w:val="30"/>
        </w:rPr>
        <w:t>的时间计划对乙方报告、方案内容进行确认，以便乙方报告、方案进行修正和实施。</w:t>
      </w:r>
    </w:p>
    <w:p>
      <w:pPr>
        <w:widowControl/>
        <w:adjustRightInd w:val="0"/>
        <w:snapToGrid w:val="0"/>
        <w:ind w:firstLine="6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6.4甲方应按照合同条款按时向乙方支付费用，以便保证乙方工作正常开展。</w:t>
      </w:r>
    </w:p>
    <w:p>
      <w:pPr>
        <w:ind w:firstLine="6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6.5甲方负责协调乙方开展工作，包括获取当地数据、规划资料等。</w:t>
      </w:r>
    </w:p>
    <w:p>
      <w:pPr>
        <w:rPr>
          <w:rFonts w:ascii="黑体" w:hAnsi="黑体" w:eastAsia="黑体" w:cs="黑体"/>
          <w:b/>
          <w:bCs/>
          <w:sz w:val="32"/>
          <w:szCs w:val="32"/>
        </w:rPr>
      </w:pPr>
      <w:r>
        <w:rPr>
          <w:rFonts w:hint="eastAsia" w:ascii="仿宋_GB2312" w:eastAsia="仿宋_GB2312"/>
        </w:rPr>
        <w:t>6.6甲方要求乙方具有项目可行性研究报告编制咨询服务能力，同时具备乙级及其以上工程咨询资质和规划资质。为保证项目服务质量，甲方要求乙方项目负责人具有高级职称，熟悉商贸物流行业情况，有大型产业地产或商业地产成功策划、建筑设计及可研报告服务经验，有商贸物流项目相关咨询服务经验。</w:t>
      </w:r>
      <w:r>
        <w:rPr>
          <w:rFonts w:hint="eastAsia" w:ascii="仿宋_GB2312" w:hAnsi="宋体" w:eastAsia="仿宋_GB2312" w:cs="宋体"/>
          <w:color w:val="000000"/>
          <w:kern w:val="0"/>
          <w:sz w:val="30"/>
          <w:szCs w:val="30"/>
        </w:rPr>
        <w:br w:type="textWrapping"/>
      </w:r>
      <w:r>
        <w:rPr>
          <w:rFonts w:hint="eastAsia" w:ascii="黑体" w:hAnsi="黑体" w:eastAsia="黑体" w:cs="黑体"/>
          <w:b/>
          <w:bCs/>
          <w:sz w:val="32"/>
          <w:szCs w:val="32"/>
        </w:rPr>
        <w:t>七、乙方权利与义务</w:t>
      </w:r>
    </w:p>
    <w:p>
      <w:pPr>
        <w:widowControl/>
        <w:adjustRightInd w:val="0"/>
        <w:snapToGrid w:val="0"/>
        <w:ind w:firstLine="6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7.1乙方项目专门工作小组，按相关工作进度报告，如延期需要征得甲方同意。</w:t>
      </w:r>
    </w:p>
    <w:p>
      <w:pPr>
        <w:widowControl/>
        <w:adjustRightInd w:val="0"/>
        <w:snapToGrid w:val="0"/>
        <w:ind w:firstLine="6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7.2乙方在为甲方工作期间须严格保守甲方机密。</w:t>
      </w:r>
    </w:p>
    <w:p>
      <w:pPr>
        <w:widowControl/>
        <w:adjustRightInd w:val="0"/>
        <w:snapToGrid w:val="0"/>
        <w:ind w:firstLine="6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7.3乙方严格按照双方共同制定的工作进度计划进行工作。</w:t>
      </w:r>
      <w:r>
        <w:rPr>
          <w:rFonts w:hint="eastAsia" w:ascii="仿宋_GB2312" w:hAnsi="宋体" w:eastAsia="仿宋_GB2312" w:cs="宋体"/>
          <w:color w:val="000000"/>
          <w:kern w:val="0"/>
          <w:sz w:val="30"/>
          <w:szCs w:val="30"/>
        </w:rPr>
        <w:br w:type="textWrapping"/>
      </w:r>
      <w:r>
        <w:rPr>
          <w:rFonts w:hint="eastAsia" w:ascii="仿宋_GB2312" w:hAnsi="宋体" w:eastAsia="仿宋_GB2312" w:cs="宋体"/>
          <w:color w:val="000000"/>
          <w:kern w:val="0"/>
          <w:sz w:val="30"/>
          <w:szCs w:val="30"/>
        </w:rPr>
        <w:t xml:space="preserve">    7.4乙方有义务对所提交的文件、方案根据执行情况的变化作相应的调整和修正。</w:t>
      </w:r>
    </w:p>
    <w:p>
      <w:pPr>
        <w:widowControl/>
        <w:adjustRightInd w:val="0"/>
        <w:snapToGrid w:val="0"/>
        <w:ind w:firstLine="6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7.5按照甲方要求提供符合要求的报告，并负责通过由甲方组织的评审（包括规委会、建委、国资委）答疑。</w:t>
      </w:r>
    </w:p>
    <w:p>
      <w:pPr>
        <w:ind w:firstLine="0" w:firstLineChars="0"/>
        <w:rPr>
          <w:rFonts w:ascii="黑体" w:hAnsi="黑体" w:eastAsia="黑体" w:cs="黑体"/>
          <w:b/>
          <w:bCs/>
          <w:sz w:val="32"/>
          <w:szCs w:val="32"/>
        </w:rPr>
      </w:pPr>
      <w:r>
        <w:rPr>
          <w:rFonts w:hint="eastAsia" w:ascii="黑体" w:hAnsi="黑体" w:eastAsia="黑体" w:cs="黑体"/>
          <w:b/>
          <w:bCs/>
          <w:sz w:val="32"/>
          <w:szCs w:val="32"/>
        </w:rPr>
        <w:t>八、项目收费标准</w:t>
      </w:r>
    </w:p>
    <w:p>
      <w:pPr>
        <w:ind w:firstLine="562"/>
        <w:rPr>
          <w:rFonts w:ascii="仿宋_GB2312" w:eastAsia="仿宋_GB2312"/>
        </w:rPr>
      </w:pPr>
      <w:r>
        <w:rPr>
          <w:rFonts w:hint="eastAsia"/>
          <w:b w:val="0"/>
          <w:bCs w:val="0"/>
        </w:rPr>
        <w:t>8.1</w:t>
      </w:r>
      <w:r>
        <w:rPr>
          <w:rFonts w:hint="eastAsia" w:ascii="仿宋_GB2312" w:eastAsia="仿宋_GB2312"/>
        </w:rPr>
        <w:t>本合同编制费以包干的形式计取（已包含人工费、交通费、食宿费、材料费等乙方为开展委托工作所需要的所有费用），甲方向乙方支付本项目的可行性研究报告编制费用为</w:t>
      </w:r>
      <w:r>
        <w:rPr>
          <w:rFonts w:hint="eastAsia" w:ascii="仿宋_GB2312" w:eastAsia="仿宋_GB2312"/>
          <w:u w:val="single"/>
        </w:rPr>
        <w:t xml:space="preserve">    </w:t>
      </w:r>
      <w:r>
        <w:rPr>
          <w:rFonts w:hint="eastAsia" w:ascii="仿宋_GB2312" w:eastAsia="仿宋_GB2312"/>
        </w:rPr>
        <w:t>元（大写：</w:t>
      </w:r>
      <w:r>
        <w:rPr>
          <w:rFonts w:hint="eastAsia" w:ascii="仿宋_GB2312" w:eastAsia="仿宋_GB2312"/>
          <w:u w:val="single"/>
        </w:rPr>
        <w:t xml:space="preserve">    </w:t>
      </w:r>
      <w:r>
        <w:rPr>
          <w:rFonts w:hint="eastAsia" w:ascii="仿宋_GB2312" w:eastAsia="仿宋_GB2312"/>
        </w:rPr>
        <w:t>），本费用为含税包干价，在乙方全面履行本合同义务的前提下，上述费用为甲方应支付给乙方的全部费用。</w:t>
      </w:r>
    </w:p>
    <w:p>
      <w:pPr>
        <w:numPr>
          <w:ilvl w:val="255"/>
          <w:numId w:val="0"/>
        </w:numPr>
        <w:tabs>
          <w:tab w:val="left" w:pos="0"/>
        </w:tabs>
        <w:ind w:firstLine="560" w:firstLineChars="200"/>
        <w:rPr>
          <w:rFonts w:ascii="仿宋_GB2312" w:eastAsia="仿宋_GB2312"/>
        </w:rPr>
      </w:pPr>
      <w:r>
        <w:rPr>
          <w:rFonts w:hint="eastAsia" w:ascii="仿宋_GB2312" w:eastAsia="仿宋_GB2312"/>
        </w:rPr>
        <w:t>8.2付款方式：</w:t>
      </w:r>
    </w:p>
    <w:p>
      <w:pPr>
        <w:numPr>
          <w:ilvl w:val="255"/>
          <w:numId w:val="0"/>
        </w:numPr>
        <w:tabs>
          <w:tab w:val="left" w:pos="0"/>
        </w:tabs>
        <w:ind w:firstLine="560" w:firstLineChars="200"/>
        <w:rPr>
          <w:rFonts w:ascii="仿宋_GB2312" w:eastAsia="仿宋_GB2312"/>
        </w:rPr>
      </w:pPr>
      <w:r>
        <w:rPr>
          <w:rFonts w:hint="eastAsia" w:ascii="仿宋_GB2312" w:eastAsia="仿宋_GB2312"/>
        </w:rPr>
        <w:t>8.2.1合同签订后</w:t>
      </w:r>
      <w:r>
        <w:rPr>
          <w:rFonts w:hint="eastAsia" w:ascii="仿宋_GB2312" w:eastAsia="仿宋_GB2312"/>
          <w:u w:val="single"/>
        </w:rPr>
        <w:t xml:space="preserve"> </w:t>
      </w:r>
      <w:r>
        <w:rPr>
          <w:rFonts w:hint="eastAsia" w:ascii="仿宋_GB2312" w:eastAsia="仿宋_GB2312"/>
          <w:u w:val="single"/>
          <w:lang w:val="en-US" w:eastAsia="zh-CN"/>
        </w:rPr>
        <w:t>3</w:t>
      </w:r>
      <w:r>
        <w:rPr>
          <w:rFonts w:hint="eastAsia" w:ascii="仿宋_GB2312" w:eastAsia="仿宋_GB2312"/>
          <w:u w:val="single"/>
        </w:rPr>
        <w:t xml:space="preserve">  </w:t>
      </w:r>
      <w:r>
        <w:rPr>
          <w:rFonts w:hint="eastAsia" w:ascii="仿宋_GB2312" w:eastAsia="仿宋_GB2312"/>
        </w:rPr>
        <w:t>日内支付合同总金额的</w:t>
      </w:r>
      <w:r>
        <w:rPr>
          <w:rFonts w:hint="eastAsia" w:ascii="仿宋_GB2312" w:eastAsia="仿宋_GB2312"/>
          <w:u w:val="single"/>
        </w:rPr>
        <w:t xml:space="preserve">  30 </w:t>
      </w:r>
      <w:r>
        <w:rPr>
          <w:rFonts w:hint="eastAsia" w:ascii="仿宋_GB2312" w:eastAsia="仿宋_GB2312"/>
        </w:rPr>
        <w:t>%。</w:t>
      </w:r>
    </w:p>
    <w:p>
      <w:pPr>
        <w:numPr>
          <w:ilvl w:val="255"/>
          <w:numId w:val="0"/>
        </w:numPr>
        <w:tabs>
          <w:tab w:val="left" w:pos="0"/>
        </w:tabs>
        <w:ind w:firstLine="560" w:firstLineChars="200"/>
        <w:rPr>
          <w:rFonts w:ascii="仿宋_GB2312" w:eastAsia="仿宋_GB2312"/>
        </w:rPr>
      </w:pPr>
      <w:r>
        <w:rPr>
          <w:rFonts w:hint="eastAsia" w:ascii="仿宋_GB2312" w:eastAsia="仿宋_GB2312"/>
        </w:rPr>
        <w:t>8.2.2乙方向甲方提交项目可行性研究报告初稿，经甲方初步审查认可后</w:t>
      </w:r>
      <w:r>
        <w:rPr>
          <w:rFonts w:hint="eastAsia" w:ascii="仿宋_GB2312" w:eastAsia="仿宋_GB2312"/>
          <w:u w:val="single"/>
        </w:rPr>
        <w:t xml:space="preserve">  </w:t>
      </w:r>
      <w:r>
        <w:rPr>
          <w:rFonts w:hint="eastAsia" w:ascii="仿宋_GB2312" w:eastAsia="仿宋_GB2312"/>
          <w:u w:val="single"/>
          <w:lang w:val="en-US" w:eastAsia="zh-CN"/>
        </w:rPr>
        <w:t>10</w:t>
      </w:r>
      <w:r>
        <w:rPr>
          <w:rFonts w:hint="eastAsia" w:ascii="仿宋_GB2312" w:eastAsia="仿宋_GB2312"/>
          <w:u w:val="single"/>
        </w:rPr>
        <w:t xml:space="preserve">  </w:t>
      </w:r>
      <w:r>
        <w:rPr>
          <w:rFonts w:hint="eastAsia" w:ascii="仿宋_GB2312" w:eastAsia="仿宋_GB2312"/>
        </w:rPr>
        <w:t>日内，甲方向乙方支付合同总金额的</w:t>
      </w:r>
      <w:r>
        <w:rPr>
          <w:rFonts w:hint="eastAsia" w:ascii="仿宋_GB2312" w:eastAsia="仿宋_GB2312"/>
          <w:u w:val="single"/>
        </w:rPr>
        <w:t xml:space="preserve">   40 </w:t>
      </w:r>
      <w:r>
        <w:rPr>
          <w:rFonts w:hint="eastAsia" w:ascii="仿宋_GB2312" w:eastAsia="仿宋_GB2312"/>
        </w:rPr>
        <w:t>%。</w:t>
      </w:r>
    </w:p>
    <w:p>
      <w:pPr>
        <w:rPr>
          <w:rFonts w:ascii="仿宋_GB2312" w:eastAsia="仿宋_GB2312"/>
        </w:rPr>
      </w:pPr>
      <w:r>
        <w:rPr>
          <w:rFonts w:hint="eastAsia" w:ascii="仿宋_GB2312" w:eastAsia="仿宋_GB2312"/>
        </w:rPr>
        <w:t>8.2.3乙方向甲方提交符合本合同约定的可行性研究报告定稿后，经甲方书面认可且可行性研究报告通过主管部门审查之日起</w:t>
      </w:r>
      <w:r>
        <w:rPr>
          <w:rFonts w:hint="eastAsia" w:ascii="仿宋_GB2312" w:eastAsia="仿宋_GB2312"/>
          <w:u w:val="single"/>
        </w:rPr>
        <w:t xml:space="preserve">  </w:t>
      </w:r>
      <w:r>
        <w:rPr>
          <w:rFonts w:hint="eastAsia" w:ascii="仿宋_GB2312" w:eastAsia="仿宋_GB2312"/>
          <w:u w:val="single"/>
          <w:lang w:val="en-US" w:eastAsia="zh-CN"/>
        </w:rPr>
        <w:t>10</w:t>
      </w:r>
      <w:r>
        <w:rPr>
          <w:rFonts w:hint="eastAsia" w:ascii="仿宋_GB2312" w:eastAsia="仿宋_GB2312"/>
          <w:u w:val="single"/>
        </w:rPr>
        <w:t xml:space="preserve">  </w:t>
      </w:r>
      <w:r>
        <w:rPr>
          <w:rFonts w:hint="eastAsia" w:ascii="仿宋_GB2312" w:eastAsia="仿宋_GB2312"/>
        </w:rPr>
        <w:t>日内，甲方向乙方支付合同总金额的</w:t>
      </w:r>
      <w:r>
        <w:rPr>
          <w:rFonts w:hint="eastAsia" w:ascii="仿宋_GB2312" w:eastAsia="仿宋_GB2312"/>
          <w:u w:val="single"/>
        </w:rPr>
        <w:t xml:space="preserve">  30  </w:t>
      </w:r>
      <w:r>
        <w:rPr>
          <w:rFonts w:hint="eastAsia" w:ascii="仿宋_GB2312" w:eastAsia="仿宋_GB2312"/>
        </w:rPr>
        <w:t>%。</w:t>
      </w:r>
    </w:p>
    <w:p>
      <w:r>
        <w:rPr>
          <w:rFonts w:hint="eastAsia" w:ascii="仿宋_GB2312" w:eastAsia="仿宋_GB2312"/>
        </w:rPr>
        <w:t>8.2.4乙方应在每次甲方付款前向甲方提供合法有效的增值税专用发票，税率为</w:t>
      </w:r>
      <w:r>
        <w:rPr>
          <w:rFonts w:hint="eastAsia" w:ascii="仿宋_GB2312" w:eastAsia="仿宋_GB2312"/>
          <w:u w:val="single"/>
        </w:rPr>
        <w:t xml:space="preserve">     </w:t>
      </w:r>
      <w:r>
        <w:rPr>
          <w:rFonts w:hint="eastAsia" w:ascii="仿宋_GB2312" w:eastAsia="仿宋_GB2312"/>
        </w:rPr>
        <w:t xml:space="preserve"> %。否则，甲方有权延期支付该期款项，直至乙方提供发票为止。</w:t>
      </w:r>
    </w:p>
    <w:p>
      <w:pPr>
        <w:numPr>
          <w:ilvl w:val="0"/>
          <w:numId w:val="1"/>
        </w:numPr>
        <w:ind w:firstLine="602"/>
        <w:rPr>
          <w:rFonts w:ascii="仿宋_GB2312" w:eastAsia="仿宋_GB2312"/>
        </w:rPr>
      </w:pPr>
      <w:r>
        <w:rPr>
          <w:rFonts w:hint="eastAsia" w:ascii="黑体" w:hAnsi="黑体" w:eastAsia="黑体" w:cs="黑体"/>
          <w:b/>
          <w:bCs/>
          <w:color w:val="000000"/>
          <w:kern w:val="0"/>
          <w:sz w:val="30"/>
          <w:szCs w:val="30"/>
        </w:rPr>
        <w:t>违约责任</w:t>
      </w:r>
      <w:r>
        <w:rPr>
          <w:rFonts w:hint="eastAsia" w:ascii="仿宋_GB2312" w:hAnsi="宋体" w:eastAsia="仿宋_GB2312" w:cs="宋体"/>
          <w:color w:val="000000"/>
          <w:kern w:val="0"/>
          <w:sz w:val="30"/>
          <w:szCs w:val="30"/>
        </w:rPr>
        <w:br w:type="textWrapping"/>
      </w:r>
      <w:r>
        <w:rPr>
          <w:rFonts w:hint="eastAsia" w:ascii="仿宋_GB2312" w:hAnsi="宋体" w:eastAsia="仿宋_GB2312" w:cs="宋体"/>
          <w:color w:val="000000"/>
          <w:kern w:val="0"/>
          <w:sz w:val="30"/>
          <w:szCs w:val="30"/>
        </w:rPr>
        <w:t xml:space="preserve">    9.1</w:t>
      </w:r>
      <w:r>
        <w:rPr>
          <w:rFonts w:hint="eastAsia" w:ascii="仿宋_GB2312" w:eastAsia="仿宋_GB2312"/>
        </w:rPr>
        <w:t>因甲方原因，未按合同约定时间提供本项目相关的数据和资料（工作用基础资料），交付编制成果时间相应顺延。</w:t>
      </w:r>
    </w:p>
    <w:p>
      <w:pPr>
        <w:numPr>
          <w:ilvl w:val="255"/>
          <w:numId w:val="0"/>
        </w:numPr>
        <w:ind w:firstLine="560"/>
        <w:rPr>
          <w:rFonts w:ascii="仿宋_GB2312" w:eastAsia="仿宋_GB2312"/>
        </w:rPr>
      </w:pPr>
      <w:r>
        <w:rPr>
          <w:rFonts w:hint="eastAsia" w:ascii="仿宋_GB2312" w:eastAsia="仿宋_GB2312"/>
        </w:rPr>
        <w:t>9.2</w:t>
      </w:r>
      <w:r>
        <w:rPr>
          <w:rFonts w:hint="eastAsia" w:ascii="仿宋_GB2312" w:hAnsi="宋体" w:eastAsia="仿宋_GB2312" w:cs="宋体"/>
          <w:color w:val="000000"/>
          <w:kern w:val="0"/>
          <w:sz w:val="30"/>
          <w:szCs w:val="30"/>
        </w:rPr>
        <w:t>项目合作期间，双方应严格履行合同，不能擅自中止合同，如因</w:t>
      </w:r>
      <w:r>
        <w:rPr>
          <w:rFonts w:hint="eastAsia" w:ascii="仿宋_GB2312" w:hAnsi="宋体" w:eastAsia="仿宋_GB2312" w:cs="宋体"/>
          <w:kern w:val="0"/>
          <w:sz w:val="30"/>
          <w:szCs w:val="30"/>
        </w:rPr>
        <w:t>某方</w:t>
      </w:r>
      <w:r>
        <w:rPr>
          <w:rFonts w:hint="eastAsia" w:ascii="仿宋_GB2312" w:hAnsi="宋体" w:eastAsia="仿宋_GB2312" w:cs="宋体"/>
          <w:color w:val="000000"/>
          <w:kern w:val="0"/>
          <w:sz w:val="30"/>
          <w:szCs w:val="30"/>
        </w:rPr>
        <w:t>无故中止合同，造成双方无法合作，违约方应支付守约方合同总款30%的违约金，同时守约方有权要求违约方赔偿其造成的损失。</w:t>
      </w:r>
    </w:p>
    <w:p>
      <w:pPr>
        <w:numPr>
          <w:ilvl w:val="255"/>
          <w:numId w:val="0"/>
        </w:numPr>
        <w:ind w:firstLine="560"/>
        <w:rPr>
          <w:rFonts w:ascii="仿宋_GB2312" w:eastAsia="仿宋_GB2312"/>
        </w:rPr>
      </w:pPr>
      <w:r>
        <w:rPr>
          <w:rFonts w:hint="eastAsia" w:ascii="仿宋_GB2312" w:eastAsia="仿宋_GB2312"/>
        </w:rPr>
        <w:t>9.3因甲方原因，未按合同约定时间支付相应阶段款项，每逾期一天，按应付款的</w:t>
      </w:r>
      <w:r>
        <w:rPr>
          <w:rFonts w:hint="eastAsia" w:ascii="仿宋_GB2312" w:eastAsia="仿宋_GB2312"/>
          <w:u w:val="single"/>
        </w:rPr>
        <w:t>1‰</w:t>
      </w:r>
      <w:r>
        <w:rPr>
          <w:rFonts w:hint="eastAsia" w:ascii="仿宋_GB2312" w:eastAsia="仿宋_GB2312"/>
        </w:rPr>
        <w:t>支付违约金。</w:t>
      </w:r>
    </w:p>
    <w:p>
      <w:pPr>
        <w:rPr>
          <w:rFonts w:ascii="仿宋_GB2312" w:eastAsia="仿宋_GB2312"/>
        </w:rPr>
      </w:pPr>
      <w:r>
        <w:rPr>
          <w:rFonts w:hint="eastAsia" w:ascii="仿宋_GB2312" w:eastAsia="仿宋_GB2312"/>
        </w:rPr>
        <w:t>9.4因乙方原因，乙方逾期提交可行性研究报告的，每逾期一天，应向甲方支付合同总价款</w:t>
      </w:r>
      <w:r>
        <w:rPr>
          <w:rFonts w:hint="eastAsia" w:ascii="仿宋_GB2312" w:eastAsia="仿宋_GB2312"/>
          <w:u w:val="single"/>
        </w:rPr>
        <w:t>1‰</w:t>
      </w:r>
      <w:r>
        <w:rPr>
          <w:rFonts w:hint="eastAsia" w:ascii="仿宋_GB2312" w:eastAsia="仿宋_GB2312"/>
        </w:rPr>
        <w:t>的违约金；迟延达到</w:t>
      </w:r>
      <w:r>
        <w:rPr>
          <w:rFonts w:hint="eastAsia" w:ascii="仿宋_GB2312" w:eastAsia="仿宋_GB2312"/>
          <w:u w:val="single"/>
        </w:rPr>
        <w:t xml:space="preserve"> 7</w:t>
      </w:r>
      <w:r>
        <w:rPr>
          <w:rFonts w:hint="eastAsia" w:ascii="仿宋_GB2312" w:eastAsia="仿宋_GB2312"/>
        </w:rPr>
        <w:t>日，甲方有权单方解除本合同，乙方应返还甲方已支付的所有款项。</w:t>
      </w:r>
    </w:p>
    <w:p>
      <w:pPr>
        <w:rPr>
          <w:rFonts w:ascii="仿宋_GB2312" w:eastAsia="仿宋_GB2312"/>
        </w:rPr>
      </w:pPr>
      <w:r>
        <w:rPr>
          <w:rFonts w:hint="eastAsia" w:ascii="仿宋_GB2312" w:eastAsia="仿宋_GB2312"/>
        </w:rPr>
        <w:t>9.5乙方提交的可行性研究报告不符合同约定标准，乙方应无偿修改至需求部门确认为止，经多次修改仍不符合约定标准的，甲方有权解除合同。</w:t>
      </w:r>
    </w:p>
    <w:p>
      <w:pPr>
        <w:ind w:firstLine="552" w:firstLineChars="0"/>
        <w:rPr>
          <w:rFonts w:hint="eastAsia" w:ascii="仿宋_GB2312" w:eastAsia="仿宋_GB2312"/>
        </w:rPr>
      </w:pPr>
      <w:r>
        <w:rPr>
          <w:rFonts w:hint="eastAsia" w:ascii="仿宋_GB2312" w:eastAsia="仿宋_GB2312"/>
        </w:rPr>
        <w:t>9.6由于乙方错误造成质量事故损失的，乙方除负责采取补救措施外，应免收直接受损失部分的咨询费。损失严重的，应根据损失的程度和乙方责任大小向甲方支付赔偿金。</w:t>
      </w:r>
    </w:p>
    <w:p>
      <w:pPr>
        <w:ind w:firstLine="552" w:firstLineChars="0"/>
        <w:rPr>
          <w:rFonts w:ascii="仿宋" w:hAnsi="仿宋"/>
          <w:color w:val="000000"/>
          <w:szCs w:val="21"/>
        </w:rPr>
      </w:pPr>
      <w:r>
        <w:rPr>
          <w:rFonts w:hint="eastAsia" w:ascii="仿宋_GB2312" w:hAnsi="宋体" w:eastAsia="仿宋_GB2312" w:cs="宋体"/>
          <w:color w:val="000000"/>
          <w:kern w:val="0"/>
          <w:sz w:val="30"/>
          <w:szCs w:val="30"/>
        </w:rPr>
        <w:t>9.7</w:t>
      </w:r>
      <w:r>
        <w:rPr>
          <w:rFonts w:hint="eastAsia" w:ascii="仿宋" w:hAnsi="仿宋"/>
          <w:color w:val="000000"/>
          <w:szCs w:val="21"/>
        </w:rPr>
        <w:t>如因第三方原因或者甲方原因造成项目调整用地红线及相关设计条件，双方均不算违约，但甲方应该全额支付乙方已经完成工作的款项。如甲方另行选址，或在原址对方案进行较大修改，费用另行协商。</w:t>
      </w:r>
    </w:p>
    <w:p>
      <w:pPr>
        <w:widowControl/>
        <w:adjustRightInd w:val="0"/>
        <w:snapToGrid w:val="0"/>
        <w:ind w:firstLine="0" w:firstLineChars="0"/>
        <w:jc w:val="left"/>
        <w:rPr>
          <w:rFonts w:ascii="仿宋_GB2312" w:hAnsi="宋体" w:eastAsia="仿宋_GB2312" w:cs="宋体"/>
          <w:color w:val="000000"/>
          <w:kern w:val="0"/>
          <w:sz w:val="30"/>
          <w:szCs w:val="30"/>
        </w:rPr>
      </w:pPr>
      <w:r>
        <w:rPr>
          <w:rFonts w:hint="eastAsia" w:ascii="黑体" w:hAnsi="黑体" w:eastAsia="黑体" w:cs="黑体"/>
          <w:color w:val="000000"/>
          <w:kern w:val="0"/>
          <w:sz w:val="30"/>
          <w:szCs w:val="30"/>
        </w:rPr>
        <w:t>十、</w:t>
      </w:r>
      <w:r>
        <w:rPr>
          <w:rFonts w:hint="eastAsia" w:ascii="黑体" w:hAnsi="黑体" w:eastAsia="黑体" w:cs="黑体"/>
          <w:b/>
          <w:bCs/>
          <w:color w:val="000000"/>
          <w:kern w:val="0"/>
          <w:sz w:val="30"/>
          <w:szCs w:val="30"/>
        </w:rPr>
        <w:t>其它事宜</w:t>
      </w:r>
      <w:r>
        <w:rPr>
          <w:rFonts w:hint="eastAsia" w:ascii="仿宋_GB2312" w:hAnsi="宋体" w:eastAsia="仿宋_GB2312" w:cs="宋体"/>
          <w:color w:val="000000"/>
          <w:kern w:val="0"/>
          <w:sz w:val="30"/>
          <w:szCs w:val="30"/>
        </w:rPr>
        <w:br w:type="textWrapping"/>
      </w:r>
      <w:r>
        <w:rPr>
          <w:rFonts w:hint="eastAsia" w:ascii="仿宋_GB2312" w:hAnsi="宋体" w:eastAsia="仿宋_GB2312" w:cs="宋体"/>
          <w:color w:val="000000"/>
          <w:kern w:val="0"/>
          <w:sz w:val="30"/>
          <w:szCs w:val="30"/>
        </w:rPr>
        <w:t xml:space="preserve">    10.1如经双方协商同意，本合同附件中具体工作内容可作进一步的完善和补充。</w:t>
      </w:r>
      <w:r>
        <w:rPr>
          <w:rFonts w:hint="eastAsia" w:ascii="仿宋_GB2312" w:hAnsi="宋体" w:eastAsia="仿宋_GB2312" w:cs="宋体"/>
          <w:color w:val="000000"/>
          <w:kern w:val="0"/>
          <w:sz w:val="30"/>
          <w:szCs w:val="30"/>
        </w:rPr>
        <w:br w:type="textWrapping"/>
      </w:r>
      <w:r>
        <w:rPr>
          <w:rFonts w:hint="eastAsia" w:ascii="仿宋_GB2312" w:hAnsi="宋体" w:eastAsia="仿宋_GB2312" w:cs="宋体"/>
          <w:color w:val="000000"/>
          <w:kern w:val="0"/>
          <w:sz w:val="30"/>
          <w:szCs w:val="30"/>
        </w:rPr>
        <w:t xml:space="preserve">    10.2其它未尽事宜，双方协商解决，以补充协议形式确定，补充协议与本合同具备同等法律效力。</w:t>
      </w:r>
      <w:r>
        <w:rPr>
          <w:rFonts w:hint="eastAsia" w:ascii="仿宋_GB2312" w:hAnsi="宋体" w:eastAsia="仿宋_GB2312" w:cs="宋体"/>
          <w:color w:val="000000"/>
          <w:kern w:val="0"/>
          <w:sz w:val="30"/>
          <w:szCs w:val="30"/>
          <w:lang w:val="en-US" w:eastAsia="zh-CN"/>
        </w:rPr>
        <w:t>因履行本合同发生的纠纷由重庆市江津区人民法院管辖。</w:t>
      </w:r>
      <w:r>
        <w:rPr>
          <w:rFonts w:hint="eastAsia" w:ascii="仿宋_GB2312" w:hAnsi="宋体" w:eastAsia="仿宋_GB2312" w:cs="宋体"/>
          <w:color w:val="000000"/>
          <w:kern w:val="0"/>
          <w:sz w:val="30"/>
          <w:szCs w:val="30"/>
        </w:rPr>
        <w:br w:type="textWrapping"/>
      </w:r>
      <w:r>
        <w:rPr>
          <w:rFonts w:hint="eastAsia" w:ascii="仿宋_GB2312" w:hAnsi="宋体" w:eastAsia="仿宋_GB2312" w:cs="宋体"/>
          <w:color w:val="000000"/>
          <w:kern w:val="0"/>
          <w:sz w:val="30"/>
          <w:szCs w:val="30"/>
        </w:rPr>
        <w:t xml:space="preserve">    10.3本合同一式陆份，甲方肆份，乙方贰份，签字盖章即可生效。</w:t>
      </w:r>
      <w:r>
        <w:rPr>
          <w:rFonts w:hint="eastAsia" w:ascii="仿宋_GB2312" w:hAnsi="宋体" w:eastAsia="仿宋_GB2312" w:cs="宋体"/>
          <w:color w:val="000000"/>
          <w:kern w:val="0"/>
          <w:sz w:val="30"/>
          <w:szCs w:val="30"/>
        </w:rPr>
        <w:br w:type="textWrapping"/>
      </w:r>
      <w:r>
        <w:rPr>
          <w:rFonts w:hint="eastAsia" w:ascii="仿宋_GB2312" w:hAnsi="宋体" w:eastAsia="仿宋_GB2312" w:cs="宋体"/>
          <w:color w:val="000000"/>
          <w:kern w:val="0"/>
          <w:sz w:val="30"/>
          <w:szCs w:val="30"/>
        </w:rPr>
        <w:t xml:space="preserve">    10.4项目完成，双方责任在履行完毕之后，本合同自动失效。</w:t>
      </w:r>
    </w:p>
    <w:p>
      <w:pPr>
        <w:ind w:firstLine="0" w:firstLineChars="0"/>
      </w:pPr>
      <w:r>
        <w:rPr>
          <w:rFonts w:hint="eastAsia"/>
        </w:rPr>
        <w:t>附件：乙方项目工作小组成员名单</w:t>
      </w:r>
    </w:p>
    <w:p/>
    <w:p>
      <w:pPr>
        <w:ind w:firstLine="0" w:firstLineChars="0"/>
      </w:pPr>
      <w:r>
        <w:rPr>
          <w:rFonts w:hint="eastAsia"/>
        </w:rPr>
        <w:t>甲方：重庆市江津区华信资产经营            乙方：</w:t>
      </w:r>
    </w:p>
    <w:p>
      <w:pPr>
        <w:ind w:firstLine="0" w:firstLineChars="0"/>
      </w:pPr>
      <w:r>
        <w:rPr>
          <w:rFonts w:hint="eastAsia"/>
        </w:rPr>
        <w:t xml:space="preserve">（集团）有限公司 </w:t>
      </w:r>
    </w:p>
    <w:p>
      <w:pPr>
        <w:ind w:firstLine="0" w:firstLineChars="0"/>
      </w:pPr>
      <w:r>
        <w:rPr>
          <w:rFonts w:hint="eastAsia"/>
        </w:rPr>
        <w:t>住址：                                    住址：</w:t>
      </w:r>
    </w:p>
    <w:p>
      <w:pPr>
        <w:ind w:firstLine="0" w:firstLineChars="0"/>
      </w:pPr>
      <w:r>
        <w:rPr>
          <w:rFonts w:hint="eastAsia"/>
        </w:rPr>
        <w:t>法定代表人：                              法定代表人：</w:t>
      </w:r>
    </w:p>
    <w:p>
      <w:pPr>
        <w:ind w:firstLine="0" w:firstLineChars="0"/>
      </w:pPr>
      <w:r>
        <w:rPr>
          <w:rFonts w:hint="eastAsia"/>
        </w:rPr>
        <w:t>项目负责人：                              项目负责人：</w:t>
      </w:r>
    </w:p>
    <w:p>
      <w:pPr>
        <w:ind w:firstLine="0" w:firstLineChars="0"/>
      </w:pPr>
      <w:r>
        <w:rPr>
          <w:rFonts w:hint="eastAsia"/>
        </w:rPr>
        <w:t>联系电话：                                联系电话：</w:t>
      </w:r>
    </w:p>
    <w:p>
      <w:pPr>
        <w:ind w:firstLine="0" w:firstLineChars="0"/>
      </w:pPr>
    </w:p>
    <w:sectPr>
      <w:headerReference r:id="rId5" w:type="first"/>
      <w:footerReference r:id="rId8" w:type="first"/>
      <w:headerReference r:id="rId3" w:type="default"/>
      <w:footerReference r:id="rId6" w:type="default"/>
      <w:headerReference r:id="rId4" w:type="even"/>
      <w:footerReference r:id="rId7" w:type="even"/>
      <w:pgSz w:w="11906" w:h="16838"/>
      <w:pgMar w:top="1191" w:right="964" w:bottom="964"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5"/>
                  <w:ind w:firstLine="36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96807A"/>
    <w:multiLevelType w:val="singleLevel"/>
    <w:tmpl w:val="CD96807A"/>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144C2"/>
    <w:rsid w:val="00200632"/>
    <w:rsid w:val="004F368D"/>
    <w:rsid w:val="006144C2"/>
    <w:rsid w:val="00782387"/>
    <w:rsid w:val="00835B5D"/>
    <w:rsid w:val="00BB3E5C"/>
    <w:rsid w:val="00C96773"/>
    <w:rsid w:val="00CD5E99"/>
    <w:rsid w:val="00D155BF"/>
    <w:rsid w:val="00D94A4E"/>
    <w:rsid w:val="00DD5272"/>
    <w:rsid w:val="00EB7C8C"/>
    <w:rsid w:val="00F263AB"/>
    <w:rsid w:val="011578B3"/>
    <w:rsid w:val="012B32C2"/>
    <w:rsid w:val="01581D80"/>
    <w:rsid w:val="017F43A0"/>
    <w:rsid w:val="01842764"/>
    <w:rsid w:val="019D537E"/>
    <w:rsid w:val="01B349C5"/>
    <w:rsid w:val="01EB44EC"/>
    <w:rsid w:val="02066B2F"/>
    <w:rsid w:val="027156B4"/>
    <w:rsid w:val="027459C4"/>
    <w:rsid w:val="02B057E0"/>
    <w:rsid w:val="02DB14E4"/>
    <w:rsid w:val="02E86525"/>
    <w:rsid w:val="035F1133"/>
    <w:rsid w:val="043D417C"/>
    <w:rsid w:val="047C2994"/>
    <w:rsid w:val="049A5313"/>
    <w:rsid w:val="05244C5C"/>
    <w:rsid w:val="058E0CFA"/>
    <w:rsid w:val="05AF4007"/>
    <w:rsid w:val="05C21A2E"/>
    <w:rsid w:val="05F5609C"/>
    <w:rsid w:val="06680FB1"/>
    <w:rsid w:val="073C0855"/>
    <w:rsid w:val="074848CB"/>
    <w:rsid w:val="07A67EC9"/>
    <w:rsid w:val="07D83C9B"/>
    <w:rsid w:val="08163381"/>
    <w:rsid w:val="088349F2"/>
    <w:rsid w:val="08D83391"/>
    <w:rsid w:val="08E250E9"/>
    <w:rsid w:val="09D75762"/>
    <w:rsid w:val="09E95032"/>
    <w:rsid w:val="09EA5155"/>
    <w:rsid w:val="09FB74F9"/>
    <w:rsid w:val="0A1D3B45"/>
    <w:rsid w:val="0AB83F66"/>
    <w:rsid w:val="0AF25997"/>
    <w:rsid w:val="0B5D2530"/>
    <w:rsid w:val="0B7F7598"/>
    <w:rsid w:val="0B9C30D3"/>
    <w:rsid w:val="0C2E7BDF"/>
    <w:rsid w:val="0C5E069C"/>
    <w:rsid w:val="0C663B88"/>
    <w:rsid w:val="0CD85BFE"/>
    <w:rsid w:val="0D030D3B"/>
    <w:rsid w:val="0D610E3B"/>
    <w:rsid w:val="0D8C5075"/>
    <w:rsid w:val="0EB73C83"/>
    <w:rsid w:val="0EB8442B"/>
    <w:rsid w:val="0EBA7581"/>
    <w:rsid w:val="0EF86966"/>
    <w:rsid w:val="0F4B6557"/>
    <w:rsid w:val="0F800858"/>
    <w:rsid w:val="0FB62314"/>
    <w:rsid w:val="0FBE19CE"/>
    <w:rsid w:val="0FF726D9"/>
    <w:rsid w:val="107231E3"/>
    <w:rsid w:val="10811E93"/>
    <w:rsid w:val="10C35985"/>
    <w:rsid w:val="11163878"/>
    <w:rsid w:val="11396250"/>
    <w:rsid w:val="113E7C73"/>
    <w:rsid w:val="114B0BBA"/>
    <w:rsid w:val="119A2252"/>
    <w:rsid w:val="119E1C5C"/>
    <w:rsid w:val="11E00EC9"/>
    <w:rsid w:val="12293E47"/>
    <w:rsid w:val="12314399"/>
    <w:rsid w:val="12D2075F"/>
    <w:rsid w:val="135A0BA8"/>
    <w:rsid w:val="135A33D2"/>
    <w:rsid w:val="140F104D"/>
    <w:rsid w:val="14296788"/>
    <w:rsid w:val="143415B9"/>
    <w:rsid w:val="15253F30"/>
    <w:rsid w:val="16013765"/>
    <w:rsid w:val="168B2AC1"/>
    <w:rsid w:val="16B4299E"/>
    <w:rsid w:val="17040317"/>
    <w:rsid w:val="17141971"/>
    <w:rsid w:val="17BD3D52"/>
    <w:rsid w:val="17C813C4"/>
    <w:rsid w:val="17F10D6F"/>
    <w:rsid w:val="19FE6F95"/>
    <w:rsid w:val="1A433009"/>
    <w:rsid w:val="1A6A4C45"/>
    <w:rsid w:val="1A711858"/>
    <w:rsid w:val="1A974614"/>
    <w:rsid w:val="1B0C441E"/>
    <w:rsid w:val="1B8D251F"/>
    <w:rsid w:val="1BEA5695"/>
    <w:rsid w:val="1E322F79"/>
    <w:rsid w:val="1E7A61D0"/>
    <w:rsid w:val="1ECB1E72"/>
    <w:rsid w:val="1EEF1180"/>
    <w:rsid w:val="1F110B92"/>
    <w:rsid w:val="1F52308E"/>
    <w:rsid w:val="1F8E048D"/>
    <w:rsid w:val="1FC866C6"/>
    <w:rsid w:val="20B47735"/>
    <w:rsid w:val="20E150FD"/>
    <w:rsid w:val="20F85477"/>
    <w:rsid w:val="21074827"/>
    <w:rsid w:val="21995F1B"/>
    <w:rsid w:val="226D6EDE"/>
    <w:rsid w:val="226E074F"/>
    <w:rsid w:val="227153F5"/>
    <w:rsid w:val="22C46FF5"/>
    <w:rsid w:val="22F2663A"/>
    <w:rsid w:val="231A0B55"/>
    <w:rsid w:val="23462343"/>
    <w:rsid w:val="23695C8E"/>
    <w:rsid w:val="23696B32"/>
    <w:rsid w:val="2488193D"/>
    <w:rsid w:val="252E43DE"/>
    <w:rsid w:val="25450596"/>
    <w:rsid w:val="25520750"/>
    <w:rsid w:val="256C4FA7"/>
    <w:rsid w:val="25C140A9"/>
    <w:rsid w:val="25C96C59"/>
    <w:rsid w:val="25C97808"/>
    <w:rsid w:val="25D567B6"/>
    <w:rsid w:val="265400B8"/>
    <w:rsid w:val="265B11B3"/>
    <w:rsid w:val="266203C2"/>
    <w:rsid w:val="26936E05"/>
    <w:rsid w:val="26AE6AC3"/>
    <w:rsid w:val="26F97391"/>
    <w:rsid w:val="2719577B"/>
    <w:rsid w:val="27896686"/>
    <w:rsid w:val="27970259"/>
    <w:rsid w:val="27B663FD"/>
    <w:rsid w:val="27CE59CC"/>
    <w:rsid w:val="28194EE6"/>
    <w:rsid w:val="29C8456E"/>
    <w:rsid w:val="2A4313FB"/>
    <w:rsid w:val="2AB302AA"/>
    <w:rsid w:val="2B2A5036"/>
    <w:rsid w:val="2B642579"/>
    <w:rsid w:val="2C2A4446"/>
    <w:rsid w:val="2C2D38F6"/>
    <w:rsid w:val="2C3C3B7E"/>
    <w:rsid w:val="2C40246F"/>
    <w:rsid w:val="2CC40F97"/>
    <w:rsid w:val="2CFD7658"/>
    <w:rsid w:val="2D257338"/>
    <w:rsid w:val="2D6813E0"/>
    <w:rsid w:val="2D952191"/>
    <w:rsid w:val="2DE15306"/>
    <w:rsid w:val="2E51773F"/>
    <w:rsid w:val="2E8876DA"/>
    <w:rsid w:val="2E9F2A90"/>
    <w:rsid w:val="2F3D3C29"/>
    <w:rsid w:val="2F6B2A0F"/>
    <w:rsid w:val="2F8C3D5F"/>
    <w:rsid w:val="302F760B"/>
    <w:rsid w:val="308B437B"/>
    <w:rsid w:val="309F12CC"/>
    <w:rsid w:val="311D6260"/>
    <w:rsid w:val="3199495B"/>
    <w:rsid w:val="31A95875"/>
    <w:rsid w:val="32672EE2"/>
    <w:rsid w:val="32724A06"/>
    <w:rsid w:val="327304EF"/>
    <w:rsid w:val="32783C68"/>
    <w:rsid w:val="33D46E81"/>
    <w:rsid w:val="341A0161"/>
    <w:rsid w:val="34CF1704"/>
    <w:rsid w:val="35085573"/>
    <w:rsid w:val="351105F8"/>
    <w:rsid w:val="35672471"/>
    <w:rsid w:val="35A9518C"/>
    <w:rsid w:val="35AF5548"/>
    <w:rsid w:val="36175B49"/>
    <w:rsid w:val="3694544B"/>
    <w:rsid w:val="36BC1D33"/>
    <w:rsid w:val="36F80E1B"/>
    <w:rsid w:val="370850A8"/>
    <w:rsid w:val="37562B11"/>
    <w:rsid w:val="3770424C"/>
    <w:rsid w:val="37D41D18"/>
    <w:rsid w:val="383D1602"/>
    <w:rsid w:val="38482DBC"/>
    <w:rsid w:val="385B5C63"/>
    <w:rsid w:val="38935A6E"/>
    <w:rsid w:val="3915473C"/>
    <w:rsid w:val="393852A9"/>
    <w:rsid w:val="39C303B6"/>
    <w:rsid w:val="39EF5F7E"/>
    <w:rsid w:val="3A3656C0"/>
    <w:rsid w:val="3A3F1E47"/>
    <w:rsid w:val="3A903D13"/>
    <w:rsid w:val="3AC9381F"/>
    <w:rsid w:val="3AEB425E"/>
    <w:rsid w:val="3BA34DA9"/>
    <w:rsid w:val="3BB072D5"/>
    <w:rsid w:val="3BE250D3"/>
    <w:rsid w:val="3D9A736A"/>
    <w:rsid w:val="3DA92A93"/>
    <w:rsid w:val="3DC24F89"/>
    <w:rsid w:val="3E032865"/>
    <w:rsid w:val="3E584CBF"/>
    <w:rsid w:val="3E6C1CF9"/>
    <w:rsid w:val="3E8E2080"/>
    <w:rsid w:val="3E9936ED"/>
    <w:rsid w:val="3EA737B3"/>
    <w:rsid w:val="3F5B5055"/>
    <w:rsid w:val="3F6A71E1"/>
    <w:rsid w:val="3F834473"/>
    <w:rsid w:val="3FC55427"/>
    <w:rsid w:val="3FF94539"/>
    <w:rsid w:val="401C4795"/>
    <w:rsid w:val="40635402"/>
    <w:rsid w:val="40671B02"/>
    <w:rsid w:val="40E16869"/>
    <w:rsid w:val="414816CA"/>
    <w:rsid w:val="41EA7F03"/>
    <w:rsid w:val="41EC4795"/>
    <w:rsid w:val="42EA591C"/>
    <w:rsid w:val="43317B17"/>
    <w:rsid w:val="4338583F"/>
    <w:rsid w:val="435539C0"/>
    <w:rsid w:val="435D3ECC"/>
    <w:rsid w:val="436366F9"/>
    <w:rsid w:val="43C32CB3"/>
    <w:rsid w:val="43CB56E4"/>
    <w:rsid w:val="441E5BAD"/>
    <w:rsid w:val="442844F2"/>
    <w:rsid w:val="44A85148"/>
    <w:rsid w:val="454001A2"/>
    <w:rsid w:val="455078E4"/>
    <w:rsid w:val="455575DF"/>
    <w:rsid w:val="456F3647"/>
    <w:rsid w:val="46132ED2"/>
    <w:rsid w:val="46174D2D"/>
    <w:rsid w:val="4631541D"/>
    <w:rsid w:val="4641720A"/>
    <w:rsid w:val="464A44CB"/>
    <w:rsid w:val="46564F2E"/>
    <w:rsid w:val="46764940"/>
    <w:rsid w:val="467E0442"/>
    <w:rsid w:val="468A2F9B"/>
    <w:rsid w:val="46C6769F"/>
    <w:rsid w:val="474764E2"/>
    <w:rsid w:val="48244EBE"/>
    <w:rsid w:val="48970064"/>
    <w:rsid w:val="489E7A6A"/>
    <w:rsid w:val="48A46B3C"/>
    <w:rsid w:val="48C564F2"/>
    <w:rsid w:val="49014438"/>
    <w:rsid w:val="49073C33"/>
    <w:rsid w:val="4975343D"/>
    <w:rsid w:val="4A4322C0"/>
    <w:rsid w:val="4A5A5340"/>
    <w:rsid w:val="4AF82F67"/>
    <w:rsid w:val="4B753DBE"/>
    <w:rsid w:val="4C1B05D6"/>
    <w:rsid w:val="4C286FE5"/>
    <w:rsid w:val="4CC51BB4"/>
    <w:rsid w:val="4CCA7E93"/>
    <w:rsid w:val="4CD61F30"/>
    <w:rsid w:val="4D5048AC"/>
    <w:rsid w:val="4DB20B40"/>
    <w:rsid w:val="4DC512D8"/>
    <w:rsid w:val="4DD05737"/>
    <w:rsid w:val="4E7E0A17"/>
    <w:rsid w:val="4E91730B"/>
    <w:rsid w:val="4EF05B12"/>
    <w:rsid w:val="4F0B562B"/>
    <w:rsid w:val="4FA32E47"/>
    <w:rsid w:val="4FFC0F45"/>
    <w:rsid w:val="507A2841"/>
    <w:rsid w:val="50AB0391"/>
    <w:rsid w:val="50E57D4C"/>
    <w:rsid w:val="50F9699D"/>
    <w:rsid w:val="510A0267"/>
    <w:rsid w:val="51776639"/>
    <w:rsid w:val="52A10E89"/>
    <w:rsid w:val="52D25E15"/>
    <w:rsid w:val="533D0F7C"/>
    <w:rsid w:val="53523A7D"/>
    <w:rsid w:val="53970E2E"/>
    <w:rsid w:val="53C171AB"/>
    <w:rsid w:val="541A7D4A"/>
    <w:rsid w:val="546755C8"/>
    <w:rsid w:val="547D1B7F"/>
    <w:rsid w:val="5510440C"/>
    <w:rsid w:val="552202E9"/>
    <w:rsid w:val="557E480C"/>
    <w:rsid w:val="559653ED"/>
    <w:rsid w:val="55E87E3E"/>
    <w:rsid w:val="56E3285B"/>
    <w:rsid w:val="56F46C36"/>
    <w:rsid w:val="577A2A26"/>
    <w:rsid w:val="59231D4C"/>
    <w:rsid w:val="59C23B52"/>
    <w:rsid w:val="59FF3160"/>
    <w:rsid w:val="5A630B25"/>
    <w:rsid w:val="5A9F2F4F"/>
    <w:rsid w:val="5B0631EA"/>
    <w:rsid w:val="5B1B7BDE"/>
    <w:rsid w:val="5C170FA5"/>
    <w:rsid w:val="5C42392F"/>
    <w:rsid w:val="5CAB48DA"/>
    <w:rsid w:val="5CFD2D48"/>
    <w:rsid w:val="5D0A6943"/>
    <w:rsid w:val="5D3D74FA"/>
    <w:rsid w:val="5D4907C6"/>
    <w:rsid w:val="5D6E0D63"/>
    <w:rsid w:val="5D904F78"/>
    <w:rsid w:val="5D973C28"/>
    <w:rsid w:val="5DE01AFE"/>
    <w:rsid w:val="5E5E1091"/>
    <w:rsid w:val="5E7A7D03"/>
    <w:rsid w:val="5F0534C2"/>
    <w:rsid w:val="5F45474B"/>
    <w:rsid w:val="5F66697C"/>
    <w:rsid w:val="5F923422"/>
    <w:rsid w:val="603C06BE"/>
    <w:rsid w:val="60514F87"/>
    <w:rsid w:val="60D05DE5"/>
    <w:rsid w:val="60FB374A"/>
    <w:rsid w:val="61095EFD"/>
    <w:rsid w:val="612C2064"/>
    <w:rsid w:val="613A1323"/>
    <w:rsid w:val="61800F0A"/>
    <w:rsid w:val="619F12B6"/>
    <w:rsid w:val="61A93EE4"/>
    <w:rsid w:val="61ED626A"/>
    <w:rsid w:val="62134AF1"/>
    <w:rsid w:val="62316B9B"/>
    <w:rsid w:val="62A60EEC"/>
    <w:rsid w:val="62A822FA"/>
    <w:rsid w:val="62BF08E4"/>
    <w:rsid w:val="630504AF"/>
    <w:rsid w:val="63173CA9"/>
    <w:rsid w:val="63947E43"/>
    <w:rsid w:val="63970EC2"/>
    <w:rsid w:val="645D017C"/>
    <w:rsid w:val="64DE7C1E"/>
    <w:rsid w:val="655F6780"/>
    <w:rsid w:val="65F07005"/>
    <w:rsid w:val="66662F8D"/>
    <w:rsid w:val="66975CFA"/>
    <w:rsid w:val="67051959"/>
    <w:rsid w:val="671C2AB9"/>
    <w:rsid w:val="675A2C84"/>
    <w:rsid w:val="68166C88"/>
    <w:rsid w:val="68912237"/>
    <w:rsid w:val="68C278AB"/>
    <w:rsid w:val="69181D54"/>
    <w:rsid w:val="697A7050"/>
    <w:rsid w:val="69A37F53"/>
    <w:rsid w:val="69AA0741"/>
    <w:rsid w:val="69CA277A"/>
    <w:rsid w:val="6A382A74"/>
    <w:rsid w:val="6A736F93"/>
    <w:rsid w:val="6A7373C7"/>
    <w:rsid w:val="6AA86D0F"/>
    <w:rsid w:val="6ACA6504"/>
    <w:rsid w:val="6AF003AE"/>
    <w:rsid w:val="6B1E319B"/>
    <w:rsid w:val="6B3A6023"/>
    <w:rsid w:val="6B542B92"/>
    <w:rsid w:val="6B730B82"/>
    <w:rsid w:val="6B8F1992"/>
    <w:rsid w:val="6BBA6FF2"/>
    <w:rsid w:val="6BE00B8D"/>
    <w:rsid w:val="6C470FBA"/>
    <w:rsid w:val="6C48275E"/>
    <w:rsid w:val="6D33017E"/>
    <w:rsid w:val="6E203C2D"/>
    <w:rsid w:val="6E44545F"/>
    <w:rsid w:val="6EBB602A"/>
    <w:rsid w:val="6F23642A"/>
    <w:rsid w:val="70087B70"/>
    <w:rsid w:val="705D2720"/>
    <w:rsid w:val="70934FB5"/>
    <w:rsid w:val="70B62A08"/>
    <w:rsid w:val="70E37BBB"/>
    <w:rsid w:val="716E00BB"/>
    <w:rsid w:val="7186773D"/>
    <w:rsid w:val="71A118A5"/>
    <w:rsid w:val="723D321D"/>
    <w:rsid w:val="726B6897"/>
    <w:rsid w:val="72DA238C"/>
    <w:rsid w:val="73251D63"/>
    <w:rsid w:val="73C26041"/>
    <w:rsid w:val="73D06C49"/>
    <w:rsid w:val="73E85A87"/>
    <w:rsid w:val="748A4D48"/>
    <w:rsid w:val="74CF2383"/>
    <w:rsid w:val="75114BAD"/>
    <w:rsid w:val="765F00CB"/>
    <w:rsid w:val="7688263B"/>
    <w:rsid w:val="76B73E92"/>
    <w:rsid w:val="77540C24"/>
    <w:rsid w:val="77B564EB"/>
    <w:rsid w:val="77BC6EE2"/>
    <w:rsid w:val="77C41E35"/>
    <w:rsid w:val="77DF5E22"/>
    <w:rsid w:val="78436835"/>
    <w:rsid w:val="78FD5231"/>
    <w:rsid w:val="792E0338"/>
    <w:rsid w:val="793E0806"/>
    <w:rsid w:val="798C2FDE"/>
    <w:rsid w:val="79A1421F"/>
    <w:rsid w:val="7A465473"/>
    <w:rsid w:val="7AAF0D56"/>
    <w:rsid w:val="7B114A0C"/>
    <w:rsid w:val="7B8251B4"/>
    <w:rsid w:val="7BC66AD0"/>
    <w:rsid w:val="7C757AFC"/>
    <w:rsid w:val="7CA703FC"/>
    <w:rsid w:val="7CAE7E69"/>
    <w:rsid w:val="7CD44B80"/>
    <w:rsid w:val="7CF9125C"/>
    <w:rsid w:val="7DA47C20"/>
    <w:rsid w:val="7DBE5056"/>
    <w:rsid w:val="7FB566F7"/>
    <w:rsid w:val="7FEA4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0" w:firstLineChars="200"/>
      <w:jc w:val="both"/>
    </w:pPr>
    <w:rPr>
      <w:rFonts w:eastAsia="仿宋" w:cs="仿宋" w:asciiTheme="minorHAnsi" w:hAnsiTheme="minorHAnsi"/>
      <w:kern w:val="2"/>
      <w:sz w:val="28"/>
      <w:szCs w:val="28"/>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keepNext/>
      <w:keepLines/>
      <w:outlineLvl w:val="1"/>
    </w:pPr>
    <w:rPr>
      <w:rFonts w:ascii="Arial" w:hAnsi="Arial" w:eastAsia="楷体"/>
      <w:b/>
      <w:sz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qFormat/>
    <w:uiPriority w:val="0"/>
    <w:pPr>
      <w:spacing w:line="240" w:lineRule="auto"/>
    </w:pPr>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customStyle="1" w:styleId="10">
    <w:name w:val="批注框文本 Char"/>
    <w:basedOn w:val="9"/>
    <w:link w:val="4"/>
    <w:qFormat/>
    <w:uiPriority w:val="0"/>
    <w:rPr>
      <w:rFonts w:eastAsia="仿宋" w:cs="仿宋" w:asciiTheme="minorHAnsi" w:hAnsiTheme="minorHAns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835</Words>
  <Characters>4764</Characters>
  <Lines>39</Lines>
  <Paragraphs>11</Paragraphs>
  <TotalTime>16</TotalTime>
  <ScaleCrop>false</ScaleCrop>
  <LinksUpToDate>false</LinksUpToDate>
  <CharactersWithSpaces>5588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2021-03-10T09:41:00Z</dcterms:created>
  <dc:creator>HEDY</dc:creator>
  <cp:lastModifiedBy>Administrator</cp:lastModifiedBy>
  <dcterms:modified xsi:type="dcterms:W3CDTF">2021-03-11T09:39:15Z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