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240" w:lineRule="auto"/>
        <w:jc w:val="center"/>
        <w:rPr>
          <w:rFonts w:ascii="宋体" w:cs="Segoe UI"/>
          <w:b/>
          <w:caps/>
          <w:smallCaps w:val="0"/>
          <w:color w:val="000000"/>
          <w:kern w:val="0"/>
          <w:sz w:val="24"/>
          <w:szCs w:val="24"/>
          <w:u w:val="none"/>
        </w:rPr>
      </w:pPr>
      <w:r>
        <w:rPr>
          <w:rFonts w:ascii="宋体" w:cs="Segoe UI" w:hint="eastAsia"/>
          <w:b/>
          <w:color w:val="000000"/>
          <w:kern w:val="0"/>
          <w:sz w:val="24"/>
          <w:szCs w:val="24"/>
          <w:u w:val="none"/>
        </w:rPr>
        <w:t xml:space="preserve">重庆市江津区华信资产经营（集团）有限公司 </w:t>
      </w:r>
    </w:p>
    <w:p>
      <w:pPr>
        <w:widowControl/>
        <w:spacing w:line="240" w:lineRule="auto"/>
        <w:jc w:val="center"/>
        <w:rPr>
          <w:rFonts w:ascii="宋体" w:cs="Segoe UI"/>
          <w:b/>
          <w:caps/>
          <w:smallCaps w:val="0"/>
          <w:color w:val="3333FF"/>
          <w:kern w:val="0"/>
          <w:sz w:val="24"/>
          <w:szCs w:val="24"/>
          <w:u w:val="none"/>
        </w:rPr>
      </w:pPr>
      <w:r>
        <w:rPr>
          <w:rFonts w:ascii="宋体" w:cs="Segoe UI" w:hint="eastAsia"/>
          <w:b/>
          <w:caps/>
          <w:smallCaps w:val="0"/>
          <w:color w:val="000000"/>
          <w:kern w:val="0"/>
          <w:sz w:val="24"/>
          <w:szCs w:val="24"/>
          <w:u w:val="none"/>
        </w:rPr>
        <w:t>黄庄现代粮油科技示范园的流转土地及土地上的建筑物、构筑物、设备设施等</w:t>
      </w:r>
    </w:p>
    <w:p>
      <w:pPr>
        <w:widowControl/>
        <w:spacing w:line="380" w:lineRule="exact"/>
        <w:jc w:val="center"/>
        <w:rPr>
          <w:rFonts w:ascii="宋体" w:cs="Segoe UI"/>
          <w:b/>
          <w:caps/>
          <w:smallCaps w:val="0"/>
          <w:color w:val="auto"/>
          <w:kern w:val="0"/>
          <w:sz w:val="24"/>
          <w:szCs w:val="24"/>
          <w:u w:val="none"/>
        </w:rPr>
      </w:pPr>
      <w:r>
        <w:rPr>
          <w:rFonts w:ascii="宋体" w:cs="Segoe UI" w:hint="eastAsia"/>
          <w:b/>
          <w:caps/>
          <w:smallCaps w:val="0"/>
          <w:color w:val="000000"/>
          <w:kern w:val="0"/>
          <w:sz w:val="24"/>
          <w:szCs w:val="24"/>
          <w:u w:val="none"/>
        </w:rPr>
        <w:t>财产整体运营公开</w:t>
      </w:r>
      <w:r>
        <w:rPr>
          <w:rFonts w:ascii="宋体" w:cs="Segoe UI" w:hint="eastAsia"/>
          <w:b/>
          <w:caps/>
          <w:smallCaps w:val="0"/>
          <w:color w:val="auto"/>
          <w:kern w:val="0"/>
          <w:sz w:val="24"/>
          <w:szCs w:val="24"/>
          <w:u w:val="none"/>
        </w:rPr>
        <w:t>招租公告</w:t>
      </w:r>
    </w:p>
    <w:p>
      <w:pPr>
        <w:spacing w:line="380" w:lineRule="exact"/>
        <w:ind w:firstLine="560"/>
        <w:rPr>
          <w:rFonts w:ascii="宋体" w:cs="Segoe UI"/>
          <w:color w:val="000000"/>
          <w:kern w:val="0"/>
          <w:szCs w:val="21"/>
          <w:u w:val="none"/>
        </w:rPr>
      </w:pPr>
      <w:r>
        <w:rPr>
          <w:rFonts w:ascii="宋体" w:cs="Segoe UI" w:hint="eastAsia"/>
          <w:color w:val="auto"/>
          <w:kern w:val="0"/>
          <w:szCs w:val="21"/>
          <w:u w:val="none"/>
        </w:rPr>
        <w:t>重庆市江津区华信资产经营（集团）有限公司</w:t>
      </w:r>
      <w:r>
        <w:rPr>
          <w:rFonts w:ascii="宋体" w:cs="Segoe UI" w:hint="eastAsia"/>
          <w:caps/>
          <w:smallCaps w:val="0"/>
          <w:color w:val="auto"/>
          <w:kern w:val="0"/>
          <w:szCs w:val="21"/>
          <w:u w:val="none"/>
        </w:rPr>
        <w:t>黄庄现代粮油科技示范园的流转土地及土地上的建筑物、构筑物、设备设施等财产整体运营</w:t>
      </w:r>
      <w:r>
        <w:rPr>
          <w:rFonts w:ascii="宋体" w:cs="Segoe UI" w:hint="eastAsia"/>
          <w:color w:val="auto"/>
          <w:kern w:val="0"/>
          <w:szCs w:val="21"/>
          <w:u w:val="none"/>
        </w:rPr>
        <w:t>华信集团网站公开招租，现将有关事项</w:t>
      </w:r>
      <w:r>
        <w:rPr>
          <w:rFonts w:ascii="宋体" w:cs="Segoe UI" w:hint="eastAsia"/>
          <w:color w:val="000000"/>
          <w:kern w:val="0"/>
          <w:szCs w:val="21"/>
          <w:u w:val="none"/>
        </w:rPr>
        <w:t>公告如下：</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59"/>
        <w:gridCol w:w="992"/>
        <w:gridCol w:w="1314"/>
        <w:gridCol w:w="328"/>
        <w:gridCol w:w="1519"/>
        <w:gridCol w:w="1705"/>
        <w:gridCol w:w="1705"/>
      </w:tblGrid>
      <w:tr>
        <w:tc>
          <w:tcPr>
            <w:tcW w:w="8522" w:type="dxa"/>
            <w:gridSpan w:val="7"/>
          </w:tcPr>
          <w:p>
            <w:pPr>
              <w:spacing w:line="240" w:lineRule="auto"/>
              <w:rPr>
                <w:rFonts w:ascii="宋体"/>
              </w:rPr>
            </w:pPr>
            <w:r>
              <w:rPr>
                <w:rFonts w:ascii="宋体" w:cs="Segoe UI" w:hint="eastAsia"/>
                <w:b/>
                <w:color w:val="000000"/>
                <w:kern w:val="0"/>
                <w:sz w:val="19"/>
                <w:u w:val="none"/>
              </w:rPr>
              <w:t>一、标的简介</w:t>
            </w:r>
          </w:p>
        </w:tc>
      </w:tr>
      <w:tr>
        <w:tc>
          <w:tcPr>
            <w:tcW w:w="8522" w:type="dxa"/>
            <w:gridSpan w:val="7"/>
          </w:tcPr>
          <w:p>
            <w:pPr>
              <w:pStyle w:val="32"/>
              <w:widowControl/>
              <w:spacing w:beforeAutospacing="0" w:afterAutospacing="0" w:line="380" w:lineRule="exact"/>
              <w:ind w:firstLineChars="200" w:firstLine="420"/>
              <w:rPr>
                <w:rFonts w:ascii="宋体"/>
                <w:color w:val="auto"/>
                <w:sz w:val="21"/>
                <w:szCs w:val="21"/>
              </w:rPr>
            </w:pPr>
            <w:r>
              <w:rPr>
                <w:rFonts w:ascii="宋体" w:cs="方正黑体_GBK" w:hint="eastAsia"/>
                <w:bCs/>
                <w:sz w:val="21"/>
                <w:szCs w:val="21"/>
              </w:rPr>
              <w:t>（一）</w:t>
            </w:r>
            <w:r>
              <w:rPr>
                <w:rFonts w:ascii="宋体" w:cs="方正黑体_GBK" w:hint="eastAsia"/>
                <w:sz w:val="21"/>
                <w:szCs w:val="21"/>
              </w:rPr>
              <w:t>运</w:t>
            </w:r>
            <w:r>
              <w:rPr>
                <w:rFonts w:ascii="宋体" w:cs="方正黑体_GBK" w:hint="eastAsia"/>
                <w:color w:val="auto"/>
                <w:sz w:val="21"/>
                <w:szCs w:val="21"/>
              </w:rPr>
              <w:t>营招租主体：</w:t>
            </w:r>
            <w:r>
              <w:rPr>
                <w:rFonts w:ascii="宋体" w:hint="eastAsia"/>
                <w:color w:val="auto"/>
                <w:sz w:val="21"/>
                <w:szCs w:val="21"/>
              </w:rPr>
              <w:t>重庆市江津区华信资产经营（集团）有限公司（以下简称“华信公司”)。</w:t>
            </w:r>
          </w:p>
          <w:p>
            <w:pPr>
              <w:pStyle w:val="32"/>
              <w:widowControl/>
              <w:spacing w:beforeAutospacing="0" w:afterAutospacing="0" w:line="380" w:lineRule="exact"/>
              <w:ind w:firstLineChars="200" w:firstLine="420"/>
              <w:rPr>
                <w:rFonts w:ascii="宋体"/>
                <w:color w:val="auto"/>
                <w:sz w:val="21"/>
                <w:szCs w:val="21"/>
              </w:rPr>
            </w:pPr>
            <w:r>
              <w:rPr>
                <w:rFonts w:ascii="宋体" w:cs="方正黑体_GBK" w:hint="eastAsia"/>
                <w:color w:val="auto"/>
                <w:sz w:val="21"/>
                <w:szCs w:val="21"/>
              </w:rPr>
              <w:t>（二）运营期限：</w:t>
            </w:r>
            <w:r>
              <w:rPr>
                <w:rFonts w:ascii="宋体" w:hint="eastAsia"/>
                <w:color w:val="auto"/>
                <w:sz w:val="21"/>
                <w:szCs w:val="21"/>
              </w:rPr>
              <w:t>交易完成签订协议起至2028年6月30日止。</w:t>
            </w:r>
          </w:p>
          <w:p>
            <w:pPr>
              <w:pStyle w:val="32"/>
              <w:widowControl/>
              <w:spacing w:beforeAutospacing="0" w:afterAutospacing="0" w:line="380" w:lineRule="exact"/>
              <w:ind w:firstLineChars="200" w:firstLine="420"/>
              <w:rPr>
                <w:rFonts w:ascii="宋体" w:hint="eastAsia"/>
                <w:sz w:val="21"/>
                <w:szCs w:val="21"/>
                <w:bdr w:val="none" w:sz="0" w:space="0" w:color="auto"/>
              </w:rPr>
            </w:pPr>
            <w:r>
              <w:rPr>
                <w:rFonts w:ascii="宋体" w:hint="eastAsia"/>
                <w:color w:val="auto"/>
                <w:sz w:val="21"/>
                <w:szCs w:val="21"/>
              </w:rPr>
              <w:t>（三）华信公司对下属企业重庆沃津农业有限责任公司凉河分公司（以下简称“凉河公司”）在黄庄现代粮油科技示范园流转</w:t>
            </w:r>
            <w:r>
              <w:rPr>
                <w:rFonts w:ascii="宋体"/>
                <w:color w:val="auto"/>
                <w:sz w:val="21"/>
                <w:szCs w:val="21"/>
              </w:rPr>
              <w:t>土</w:t>
            </w:r>
            <w:r>
              <w:rPr>
                <w:rFonts w:ascii="宋体" w:hint="eastAsia"/>
                <w:color w:val="auto"/>
                <w:sz w:val="21"/>
                <w:szCs w:val="21"/>
              </w:rPr>
              <w:t>地及土地上的建筑物、构筑物、设备设施等整体运营</w:t>
            </w:r>
            <w:r>
              <w:rPr>
                <w:rFonts w:ascii="宋体" w:cs="Segoe UI" w:hint="eastAsia"/>
                <w:color w:val="auto"/>
                <w:szCs w:val="21"/>
              </w:rPr>
              <w:t>招</w:t>
            </w:r>
            <w:r>
              <w:rPr>
                <w:rFonts w:ascii="宋体" w:cs="Segoe UI" w:hint="eastAsia"/>
                <w:color w:val="auto"/>
                <w:sz w:val="21"/>
                <w:szCs w:val="21"/>
              </w:rPr>
              <w:t>租</w:t>
            </w:r>
            <w:r>
              <w:rPr>
                <w:rFonts w:ascii="宋体" w:hint="eastAsia"/>
                <w:color w:val="auto"/>
                <w:sz w:val="21"/>
                <w:szCs w:val="21"/>
              </w:rPr>
              <w:t>（具体见附件：运营</w:t>
            </w:r>
            <w:r>
              <w:rPr>
                <w:rFonts w:ascii="宋体" w:cs="Segoe UI" w:hint="eastAsia"/>
                <w:color w:val="auto"/>
                <w:sz w:val="21"/>
                <w:szCs w:val="21"/>
              </w:rPr>
              <w:t>招租</w:t>
            </w:r>
            <w:r>
              <w:rPr>
                <w:rFonts w:ascii="宋体" w:hint="eastAsia"/>
                <w:color w:val="auto"/>
                <w:sz w:val="21"/>
                <w:szCs w:val="21"/>
              </w:rPr>
              <w:t>资产表），根据重庆同诚房地</w:t>
            </w:r>
            <w:r>
              <w:rPr>
                <w:rFonts w:ascii="宋体" w:hint="eastAsia"/>
                <w:sz w:val="21"/>
                <w:szCs w:val="21"/>
                <w:bdr w:val="none" w:sz="0" w:space="0" w:color="auto"/>
              </w:rPr>
              <w:t>产土地资产评估有限公司出具的评估报告，承包经营费用招租底价确定为</w:t>
            </w:r>
            <w:r>
              <w:rPr>
                <w:rFonts w:ascii="宋体" w:hint="eastAsia"/>
                <w:bCs/>
                <w:sz w:val="21"/>
                <w:szCs w:val="21"/>
                <w:bdr w:val="none" w:sz="0" w:space="0" w:color="auto"/>
              </w:rPr>
              <w:t>250000.00元/年</w:t>
            </w:r>
            <w:r>
              <w:rPr>
                <w:rFonts w:ascii="宋体" w:hint="eastAsia"/>
                <w:sz w:val="21"/>
                <w:szCs w:val="21"/>
                <w:bdr w:val="none" w:sz="0" w:space="0" w:color="auto"/>
              </w:rPr>
              <w:t>，</w:t>
            </w:r>
            <w:r>
              <w:rPr>
                <w:rFonts w:ascii="宋体" w:hint="eastAsia"/>
                <w:sz w:val="21"/>
                <w:szCs w:val="21"/>
                <w:bdr w:val="none" w:sz="0" w:space="0" w:color="auto"/>
                <w:lang w:val="en-US" w:eastAsia="zh-CN"/>
              </w:rPr>
              <w:t>2021年4月底前、</w:t>
            </w:r>
            <w:r>
              <w:rPr>
                <w:rFonts w:ascii="宋体" w:hint="eastAsia"/>
                <w:sz w:val="21"/>
                <w:szCs w:val="21"/>
                <w:bdr w:val="none" w:sz="0" w:space="0" w:color="auto"/>
                <w:lang w:eastAsia="zh-CN"/>
              </w:rPr>
              <w:t>其余年度</w:t>
            </w:r>
            <w:bookmarkStart w:id="0" w:name="_GoBack"/>
            <w:bookmarkEnd w:id="0"/>
            <w:r>
              <w:rPr>
                <w:rFonts w:ascii="宋体" w:hint="eastAsia"/>
                <w:sz w:val="21"/>
                <w:szCs w:val="21"/>
                <w:bdr w:val="none" w:sz="0" w:space="0" w:color="auto"/>
              </w:rPr>
              <w:t>每年3月底前支付。</w:t>
            </w:r>
          </w:p>
          <w:p>
            <w:pPr>
              <w:pStyle w:val="32"/>
              <w:widowControl/>
              <w:spacing w:beforeAutospacing="0" w:afterAutospacing="0" w:line="560" w:lineRule="exact"/>
              <w:rPr>
                <w:rFonts w:ascii="宋体"/>
                <w:b/>
                <w:sz w:val="21"/>
                <w:szCs w:val="21"/>
              </w:rPr>
            </w:pPr>
            <w:r>
              <w:rPr>
                <w:rFonts w:ascii="宋体" w:hint="eastAsia"/>
                <w:b/>
                <w:sz w:val="21"/>
                <w:szCs w:val="21"/>
              </w:rPr>
              <w:t>附件：运营</w:t>
            </w:r>
            <w:r>
              <w:rPr>
                <w:rFonts w:ascii="宋体" w:cs="Segoe UI" w:hint="eastAsia"/>
                <w:b/>
                <w:color w:val="auto"/>
                <w:sz w:val="21"/>
                <w:szCs w:val="21"/>
              </w:rPr>
              <w:t>招租</w:t>
            </w:r>
            <w:r>
              <w:rPr>
                <w:rFonts w:ascii="宋体" w:hint="eastAsia"/>
                <w:b/>
                <w:color w:val="auto"/>
                <w:sz w:val="21"/>
                <w:szCs w:val="21"/>
              </w:rPr>
              <w:t>资</w:t>
            </w:r>
            <w:r>
              <w:rPr>
                <w:rFonts w:ascii="宋体" w:hint="eastAsia"/>
                <w:b/>
                <w:sz w:val="21"/>
                <w:szCs w:val="21"/>
              </w:rPr>
              <w:t>产表</w:t>
            </w:r>
          </w:p>
          <w:p>
            <w:pPr>
              <w:spacing w:line="360" w:lineRule="auto"/>
              <w:ind w:firstLineChars="200" w:firstLine="420"/>
              <w:jc w:val="center"/>
              <w:rPr>
                <w:rFonts w:ascii="宋体"/>
                <w:b/>
                <w:caps/>
                <w:smallCaps w:val="0"/>
                <w:color w:val="auto"/>
                <w:u w:val="none"/>
              </w:rPr>
            </w:pPr>
            <w:r>
              <w:rPr>
                <w:rFonts w:ascii="宋体" w:hint="eastAsia"/>
                <w:b/>
                <w:caps/>
                <w:smallCaps w:val="0"/>
                <w:color w:val="auto"/>
                <w:u w:val="none"/>
              </w:rPr>
              <w:t>1.建（构）筑物明细表</w:t>
            </w:r>
          </w:p>
          <w:tbl>
            <w:tblPr>
              <w:jc w:val="center"/>
              <w:tblW w:w="69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36"/>
              <w:gridCol w:w="1439"/>
              <w:gridCol w:w="664"/>
              <w:gridCol w:w="554"/>
              <w:gridCol w:w="788"/>
              <w:gridCol w:w="846"/>
              <w:gridCol w:w="1573"/>
            </w:tblGrid>
            <w:tr>
              <w:trPr>
                <w:trHeight w:val="161"/>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序号</w:t>
                  </w:r>
                </w:p>
              </w:tc>
              <w:tc>
                <w:tcPr>
                  <w:tcW w:w="143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项目名称</w:t>
                  </w:r>
                </w:p>
              </w:tc>
              <w:tc>
                <w:tcPr>
                  <w:tcW w:w="664"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建筑结构</w:t>
                  </w:r>
                </w:p>
              </w:tc>
              <w:tc>
                <w:tcPr>
                  <w:tcW w:w="554"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单位</w:t>
                  </w:r>
                </w:p>
              </w:tc>
              <w:tc>
                <w:tcPr>
                  <w:tcW w:w="788"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建筑面积/数量</w:t>
                  </w:r>
                </w:p>
              </w:tc>
              <w:tc>
                <w:tcPr>
                  <w:tcW w:w="84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建筑年代（年）</w:t>
                  </w:r>
                </w:p>
              </w:tc>
              <w:tc>
                <w:tcPr>
                  <w:tcW w:w="157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备注</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提灌站</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项</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　</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构筑物、泵房、变压器、管网等</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培训中心</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砖混</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740</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2014</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鱼塘管理房</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砖混</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102</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经果林管理房</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砖混</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142</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建筑物，2幢</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加压房</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砖混</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76</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2016</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6</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科技小院管理房</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砖混</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79</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烘干车间</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钢结构</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295</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8</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育秧车间</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钢结构</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703</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9</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生态餐厅</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钢结构</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424</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2017</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10</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育秧大棚</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钢结构</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2560</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2015</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构筑物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11</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农机仓库</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钢结构</w:t>
                  </w: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1200</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建筑物</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12</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鱼塘</w:t>
                  </w: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亩</w:t>
                  </w: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72.5</w:t>
                  </w: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t>
                  </w: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12个鱼塘</w:t>
                  </w:r>
                </w:p>
              </w:tc>
            </w:tr>
            <w:tr>
              <w:trPr>
                <w:trHeight w:val="161"/>
              </w:trPr>
              <w:tc>
                <w:tcPr>
                  <w:tcW w:w="1036"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合计</w:t>
                  </w:r>
                </w:p>
              </w:tc>
              <w:tc>
                <w:tcPr>
                  <w:tcW w:w="1439"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66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5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78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846"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c>
                <w:tcPr>
                  <w:tcW w:w="157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Cs w:val="21"/>
                      <w:u w:val="none"/>
                    </w:rPr>
                  </w:pPr>
                </w:p>
              </w:tc>
            </w:tr>
          </w:tbl>
          <w:p>
            <w:pPr>
              <w:spacing w:line="360" w:lineRule="auto"/>
              <w:ind w:firstLineChars="200" w:firstLine="420"/>
              <w:jc w:val="center"/>
              <w:rPr>
                <w:rFonts w:ascii="宋体"/>
                <w:b/>
                <w:color w:val="auto"/>
                <w:u w:val="none"/>
              </w:rPr>
            </w:pPr>
            <w:r>
              <w:rPr>
                <w:rFonts w:ascii="宋体" w:hint="eastAsia"/>
                <w:b/>
                <w:color w:val="auto"/>
                <w:u w:val="none"/>
              </w:rPr>
              <w:t>2.设备设施明细表</w:t>
            </w:r>
          </w:p>
          <w:tbl>
            <w:tblPr>
              <w:jc w:val="cente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6"/>
              <w:gridCol w:w="3164"/>
              <w:gridCol w:w="1873"/>
              <w:gridCol w:w="861"/>
              <w:gridCol w:w="863"/>
              <w:gridCol w:w="574"/>
            </w:tblGrid>
            <w:tr>
              <w:trPr>
                <w:cantSplit/>
                <w:trHeight w:val="278"/>
                <w:tblHeader/>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序号</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项目名称</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型号规格</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单位</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数量</w:t>
                  </w:r>
                </w:p>
              </w:tc>
              <w:tc>
                <w:tcPr>
                  <w:tcW w:w="363"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备注</w:t>
                  </w:r>
                </w:p>
              </w:tc>
            </w:tr>
            <w:tr>
              <w:trPr>
                <w:trHeight w:val="278"/>
              </w:trPr>
              <w:tc>
                <w:tcPr>
                  <w:tcW w:w="358" w:type="pct"/>
                  <w:vMerge w:val="restar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大米加工设备</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套</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提升机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0.5*0.3*5.3m</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不锈钢料斗</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0.8*0.6*0.4m（材质厚度1.2mm）</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提升机角钢</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2.5*2.5*7.5px</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米</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50</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瑞雪5XZC-3D风筛清选机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鱼台鲁佳LG-5D全自动整形真空包装机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巢湖牌6LNZ-15三型大米加工生产线</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宇杰牌DCS-5F30六面整形包装机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巢湖牌6LNZ-15三型大米加工生产线</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宇杰牌DCS-5F30六面整形包装机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加工设备和整形包装设备</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瑞雪5XZC-3D风筛清选机</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加工设备和整形包装设备</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鲁佳LG-5D全自动整形真空包装机</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空气压缩机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W-1.05/12.5</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空气压缩机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WW-1.25/10B-G</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筛灰</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剥壳机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打米机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精米机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精米机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6N-3.0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LJ-5D型自动真空整形机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LJ-5D</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双工位整形真空包装机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DCS-5F30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智能色选机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6SXM-189</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富海华储气罐</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筛米机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提升机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高3米</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提升机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高2.5米</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val="restar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菜油加工设备</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套</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自动盘式速冷精滤机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YJY-LP3</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全自动数控液压榨油机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ZM250-D</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新型螺旋榨油机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CLX-2</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撞杆榨油机械设备</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离心油渣分离机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食用油精炼机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便携式连续炼油机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YJY-LD</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自动盘式精炼机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YJY-LP</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益加益榨油机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电烘机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CD2</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菜籽除杂机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提升机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高6.5米</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可烧柴式油子烘干机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螺旋式提升机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ZYJY-TL</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抽油烟机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储料斗</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0.5*0.5*2.1</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储料斗</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0.7*1.3*0.5</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不锈钢储油罐</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500L</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vMerge/>
                  <w:shd w:val="clear" w:color="auto" w:fill="auto"/>
                  <w:noWrap/>
                  <w:vAlign w:val="center"/>
                </w:tcP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气吸式提升机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运输车辆</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三轮车</w:t>
                  </w: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收谷装袋机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SZ-100-2</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筛籽机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6</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风筛清选机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5XZ-38</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7</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东方红拖拉机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MF454</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8</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东方红拖拉机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MF554</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9</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东方红拖拉机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LLX754</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10</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东方红拖拉机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ME354</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11</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手扶自走播种器</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Z1ZOU</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12</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柴油机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190F</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13</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微耕机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1WG-4.0QC</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14</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洋马</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AW85G</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15</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全喂式联合收割机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PRO688Q</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16</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久保田</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M954KQ</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17</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手推式动力喷雾机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3W2-22-1350C</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18</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插秧机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　久保田SPW.48C</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19</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履带式液压挖掘机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MODEL</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20</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玛斯特履带自走式施耕机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1G2-120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21</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半喂式机动脱粒机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5TG-70A</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22</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空气压缩机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W-0.25/8</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23</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空调</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志高1.5P</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24</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空调</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美的3P</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25</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增氧机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26</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5XY-40型圆筒式床土整理筛选机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27</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自动输送机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28</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输送带带电机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29</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旋耕起垄机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JANJ250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30</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旋耕起厢机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JANJ230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31</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手扶播种机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ZIZOU</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32</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旋耕起垄开沟机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JANJ230I</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4</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33</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绿化台剪</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34</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四驱微耕机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2</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35</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割草机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36</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手扶除草机</w:t>
                  </w:r>
                </w:p>
              </w:tc>
              <w:tc>
                <w:tcPr>
                  <w:tcW w:w="1185" w:type="pct"/>
                  <w:shd w:val="clear" w:color="auto" w:fill="auto"/>
                  <w:noWrap/>
                  <w:vAlign w:val="center"/>
                </w:tcPr>
                <w:p>
                  <w:pPr>
                    <w:widowControl/>
                    <w:jc w:val="center"/>
                    <w:rPr>
                      <w:rFonts w:ascii="宋体" w:cs="宋体"/>
                      <w:color w:val="000000"/>
                      <w:kern w:val="0"/>
                      <w:szCs w:val="21"/>
                      <w:u w:val="none"/>
                    </w:rPr>
                  </w:pP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37</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车辆</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本田CRV/渝CCW389</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辆</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38</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车辆</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皮卡车/渝CJ0690</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辆</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r>
              <w:trPr>
                <w:trHeight w:val="278"/>
              </w:trPr>
              <w:tc>
                <w:tcPr>
                  <w:tcW w:w="358"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39</w:t>
                  </w:r>
                </w:p>
              </w:tc>
              <w:tc>
                <w:tcPr>
                  <w:tcW w:w="2002"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一鸣低温循环式干燥机</w:t>
                  </w:r>
                </w:p>
              </w:tc>
              <w:tc>
                <w:tcPr>
                  <w:tcW w:w="118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5H5-100BC</w:t>
                  </w:r>
                </w:p>
              </w:tc>
              <w:tc>
                <w:tcPr>
                  <w:tcW w:w="545"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台</w:t>
                  </w:r>
                </w:p>
              </w:tc>
              <w:tc>
                <w:tcPr>
                  <w:tcW w:w="546" w:type="pct"/>
                  <w:shd w:val="clear" w:color="auto" w:fill="auto"/>
                  <w:noWrap/>
                  <w:vAlign w:val="center"/>
                </w:tcPr>
                <w:p>
                  <w:pPr>
                    <w:widowControl/>
                    <w:jc w:val="center"/>
                    <w:rPr>
                      <w:rFonts w:ascii="宋体" w:cs="宋体"/>
                      <w:color w:val="000000"/>
                      <w:kern w:val="0"/>
                      <w:szCs w:val="21"/>
                      <w:u w:val="none"/>
                    </w:rPr>
                  </w:pPr>
                  <w:r>
                    <w:rPr>
                      <w:rFonts w:ascii="宋体" w:cs="宋体" w:hint="eastAsia"/>
                      <w:color w:val="000000"/>
                      <w:kern w:val="0"/>
                      <w:szCs w:val="21"/>
                      <w:u w:val="none"/>
                    </w:rPr>
                    <w:t>1</w:t>
                  </w:r>
                </w:p>
              </w:tc>
              <w:tc>
                <w:tcPr>
                  <w:tcW w:w="363" w:type="pct"/>
                  <w:shd w:val="clear" w:color="auto" w:fill="auto"/>
                  <w:noWrap/>
                  <w:vAlign w:val="center"/>
                </w:tcPr>
                <w:p>
                  <w:pPr>
                    <w:widowControl/>
                    <w:jc w:val="center"/>
                    <w:rPr>
                      <w:rFonts w:ascii="宋体" w:cs="宋体"/>
                      <w:color w:val="000000"/>
                      <w:kern w:val="0"/>
                      <w:szCs w:val="21"/>
                      <w:u w:val="none"/>
                    </w:rPr>
                  </w:pPr>
                </w:p>
              </w:tc>
            </w:tr>
          </w:tbl>
          <w:p>
            <w:pPr>
              <w:spacing w:line="240" w:lineRule="auto"/>
              <w:rPr>
                <w:rFonts w:ascii="宋体"/>
              </w:rPr>
            </w:pPr>
          </w:p>
        </w:tc>
      </w:tr>
      <w:tr>
        <w:trPr>
          <w:trHeight w:val="185"/>
        </w:trPr>
        <w:tc>
          <w:tcPr>
            <w:tcW w:w="959" w:type="dxa"/>
            <w:vMerge w:val="restart"/>
          </w:tcPr>
          <w:p>
            <w:pPr>
              <w:spacing w:line="240" w:lineRule="auto"/>
              <w:rPr>
                <w:rFonts w:ascii="宋体" w:cs="Segoe UI"/>
                <w:color w:val="000000"/>
                <w:kern w:val="0"/>
                <w:sz w:val="19"/>
                <w:szCs w:val="19"/>
                <w:u w:val="none"/>
              </w:rPr>
            </w:pPr>
          </w:p>
          <w:p>
            <w:pPr>
              <w:spacing w:line="240" w:lineRule="auto"/>
              <w:rPr>
                <w:rFonts w:ascii="宋体" w:cs="Segoe UI"/>
                <w:color w:val="000000"/>
                <w:kern w:val="0"/>
                <w:sz w:val="19"/>
                <w:szCs w:val="19"/>
                <w:u w:val="none"/>
              </w:rPr>
            </w:pPr>
          </w:p>
          <w:p>
            <w:pPr>
              <w:spacing w:line="240" w:lineRule="auto"/>
              <w:rPr>
                <w:rFonts w:ascii="宋体" w:cs="Segoe UI"/>
                <w:color w:val="000000"/>
                <w:kern w:val="0"/>
                <w:sz w:val="19"/>
                <w:szCs w:val="19"/>
                <w:u w:val="none"/>
              </w:rPr>
            </w:pPr>
          </w:p>
          <w:p>
            <w:pPr>
              <w:spacing w:line="240" w:lineRule="auto"/>
              <w:rPr>
                <w:rFonts w:ascii="宋体" w:cs="Segoe UI"/>
                <w:color w:val="000000"/>
                <w:kern w:val="0"/>
                <w:szCs w:val="21"/>
                <w:u w:val="none"/>
              </w:rPr>
            </w:pPr>
          </w:p>
          <w:p>
            <w:pPr>
              <w:spacing w:line="240" w:lineRule="auto"/>
              <w:jc w:val="center"/>
              <w:rPr>
                <w:rFonts w:ascii="宋体" w:cs="Segoe UI"/>
                <w:b/>
                <w:color w:val="000000"/>
                <w:kern w:val="0"/>
                <w:szCs w:val="21"/>
                <w:u w:val="none"/>
              </w:rPr>
            </w:pPr>
            <w:r>
              <w:rPr>
                <w:rFonts w:ascii="宋体" w:cs="Segoe UI" w:hint="eastAsia"/>
                <w:b/>
                <w:color w:val="000000"/>
                <w:kern w:val="0"/>
                <w:szCs w:val="21"/>
                <w:u w:val="none"/>
              </w:rPr>
              <w:t>特别</w:t>
            </w:r>
          </w:p>
          <w:p>
            <w:pPr>
              <w:spacing w:line="240" w:lineRule="auto"/>
              <w:jc w:val="center"/>
              <w:rPr>
                <w:rFonts w:ascii="宋体"/>
              </w:rPr>
            </w:pPr>
            <w:r>
              <w:rPr>
                <w:rFonts w:ascii="宋体" w:cs="Segoe UI" w:hint="eastAsia"/>
                <w:b/>
                <w:color w:val="000000"/>
                <w:kern w:val="0"/>
                <w:szCs w:val="21"/>
                <w:u w:val="none"/>
              </w:rPr>
              <w:t>告知</w:t>
            </w:r>
          </w:p>
        </w:tc>
        <w:tc>
          <w:tcPr>
            <w:tcW w:w="7563" w:type="dxa"/>
            <w:gridSpan w:val="6"/>
          </w:tcPr>
          <w:p>
            <w:pPr>
              <w:spacing w:line="360" w:lineRule="exact"/>
              <w:rPr>
                <w:rFonts w:ascii="宋体"/>
                <w:szCs w:val="21"/>
              </w:rPr>
            </w:pPr>
            <w:r>
              <w:rPr>
                <w:rFonts w:ascii="宋体" w:cs="Segoe UI" w:hint="eastAsia"/>
                <w:color w:val="000000"/>
                <w:kern w:val="0"/>
                <w:szCs w:val="21"/>
                <w:u w:val="none"/>
              </w:rPr>
              <w:t>1、以</w:t>
            </w:r>
            <w:r>
              <w:rPr>
                <w:rFonts w:ascii="宋体" w:cs="Segoe UI" w:hint="eastAsia"/>
                <w:color w:val="auto"/>
                <w:kern w:val="0"/>
                <w:szCs w:val="21"/>
                <w:u w:val="none"/>
              </w:rPr>
              <w:t>上标的按现状招租，建筑面积和设备设施仅供参考，竞租人应通过查阅资料、</w:t>
            </w:r>
            <w:r>
              <w:rPr>
                <w:rFonts w:ascii="宋体" w:eastAsia="宋体" w:cs="Segoe UI" w:hint="eastAsia"/>
                <w:color w:val="auto"/>
                <w:kern w:val="0"/>
                <w:szCs w:val="21"/>
                <w:u w:val="none"/>
              </w:rPr>
              <w:t>实地查勘等方式详细了解标的瑕疵及有关政策规定后决</w:t>
            </w:r>
            <w:r>
              <w:rPr>
                <w:rFonts w:ascii="宋体" w:eastAsia="宋体" w:cs="Segoe UI" w:hint="eastAsia"/>
                <w:color w:val="000000"/>
                <w:kern w:val="0"/>
                <w:szCs w:val="21"/>
                <w:u w:val="none"/>
              </w:rPr>
              <w:t>定是否参与竞标。</w:t>
            </w:r>
          </w:p>
        </w:tc>
      </w:tr>
      <w:tr>
        <w:trPr>
          <w:trHeight w:val="185"/>
        </w:trPr>
        <w:tc>
          <w:tcPr>
            <w:tcW w:w="959" w:type="dxa"/>
            <w:vMerge/>
          </w:tcPr>
          <w:p/>
        </w:tc>
        <w:tc>
          <w:tcPr>
            <w:tcW w:w="7563" w:type="dxa"/>
            <w:gridSpan w:val="6"/>
          </w:tcPr>
          <w:p>
            <w:pPr>
              <w:spacing w:line="360" w:lineRule="exact"/>
              <w:jc w:val="left"/>
              <w:rPr>
                <w:rFonts w:ascii="宋体"/>
                <w:color w:val="auto"/>
                <w:szCs w:val="21"/>
                <w:u w:val="none"/>
              </w:rPr>
            </w:pPr>
            <w:r>
              <w:rPr>
                <w:rFonts w:ascii="宋体" w:cs="Segoe UI" w:hint="eastAsia"/>
                <w:color w:val="auto"/>
                <w:kern w:val="0"/>
                <w:szCs w:val="21"/>
                <w:u w:val="none"/>
              </w:rPr>
              <w:t>2、</w:t>
            </w:r>
            <w:r>
              <w:rPr>
                <w:rFonts w:ascii="宋体" w:cs="宋体" w:hint="eastAsia"/>
                <w:color w:val="auto"/>
                <w:kern w:val="0"/>
                <w:szCs w:val="21"/>
                <w:u w:val="none"/>
              </w:rPr>
              <w:t>踏勘现场</w:t>
            </w:r>
            <w:r>
              <w:rPr>
                <w:rFonts w:ascii="宋体" w:hint="eastAsia"/>
                <w:color w:val="auto"/>
                <w:szCs w:val="21"/>
                <w:u w:val="none"/>
              </w:rPr>
              <w:t>组织一次，集中踏勘时间：</w:t>
            </w:r>
            <w:r>
              <w:rPr>
                <w:rFonts w:ascii="宋体" w:cs="宋体" w:hint="eastAsia"/>
                <w:color w:val="auto"/>
                <w:szCs w:val="21"/>
                <w:u w:val="none"/>
              </w:rPr>
              <w:t xml:space="preserve"> 2021</w:t>
            </w:r>
            <w:r>
              <w:rPr>
                <w:rFonts w:ascii="宋体" w:hint="eastAsia"/>
                <w:color w:val="auto"/>
                <w:szCs w:val="21"/>
                <w:u w:val="none"/>
              </w:rPr>
              <w:t>年</w:t>
            </w:r>
            <w:r>
              <w:rPr>
                <w:rFonts w:ascii="宋体"/>
                <w:color w:val="auto"/>
                <w:szCs w:val="21"/>
                <w:u w:val="none"/>
              </w:rPr>
              <w:t>4</w:t>
            </w:r>
            <w:r>
              <w:rPr>
                <w:rFonts w:ascii="宋体" w:hint="eastAsia"/>
                <w:color w:val="auto"/>
                <w:szCs w:val="21"/>
                <w:u w:val="none"/>
              </w:rPr>
              <w:t>月</w:t>
            </w:r>
            <w:r>
              <w:rPr>
                <w:rFonts w:ascii="宋体"/>
                <w:color w:val="auto"/>
                <w:szCs w:val="21"/>
                <w:u w:val="none"/>
              </w:rPr>
              <w:t>9</w:t>
            </w:r>
            <w:r>
              <w:rPr>
                <w:rFonts w:ascii="宋体" w:hint="eastAsia"/>
                <w:color w:val="auto"/>
                <w:szCs w:val="21"/>
                <w:u w:val="none"/>
              </w:rPr>
              <w:t>日</w:t>
            </w:r>
            <w:r>
              <w:rPr>
                <w:rFonts w:ascii="宋体" w:cs="宋体" w:hint="eastAsia"/>
                <w:color w:val="auto"/>
                <w:szCs w:val="21"/>
                <w:u w:val="none"/>
              </w:rPr>
              <w:t xml:space="preserve">10 </w:t>
            </w:r>
            <w:r>
              <w:rPr>
                <w:rFonts w:ascii="宋体" w:hint="eastAsia"/>
                <w:color w:val="auto"/>
                <w:szCs w:val="21"/>
                <w:u w:val="none"/>
              </w:rPr>
              <w:t>时</w:t>
            </w:r>
            <w:r>
              <w:rPr>
                <w:rFonts w:ascii="宋体" w:cs="宋体" w:hint="eastAsia"/>
                <w:color w:val="auto"/>
                <w:szCs w:val="21"/>
                <w:u w:val="none"/>
              </w:rPr>
              <w:t xml:space="preserve">00 </w:t>
            </w:r>
            <w:r>
              <w:rPr>
                <w:rFonts w:ascii="宋体" w:hint="eastAsia"/>
                <w:color w:val="auto"/>
                <w:szCs w:val="21"/>
                <w:u w:val="none"/>
              </w:rPr>
              <w:t>分。</w:t>
            </w:r>
          </w:p>
          <w:p>
            <w:pPr>
              <w:spacing w:line="360" w:lineRule="exact"/>
              <w:jc w:val="left"/>
              <w:rPr>
                <w:rFonts w:ascii="宋体"/>
                <w:color w:val="auto"/>
                <w:szCs w:val="21"/>
                <w:u w:val="none"/>
              </w:rPr>
            </w:pPr>
            <w:r>
              <w:rPr>
                <w:rFonts w:hint="eastAsia"/>
                <w:color w:val="auto"/>
                <w:szCs w:val="21"/>
                <w:u w:val="none"/>
              </w:rPr>
              <w:t>运营招租主体在踏勘现场中介绍标的物相关情况，</w:t>
            </w:r>
            <w:r>
              <w:rPr>
                <w:rFonts w:ascii="宋体" w:cs="Segoe UI" w:hint="eastAsia"/>
                <w:color w:val="auto"/>
                <w:kern w:val="0"/>
                <w:szCs w:val="21"/>
                <w:u w:val="none"/>
              </w:rPr>
              <w:t>竞租人</w:t>
            </w:r>
            <w:r>
              <w:rPr>
                <w:rFonts w:hint="eastAsia"/>
                <w:color w:val="auto"/>
                <w:szCs w:val="21"/>
                <w:u w:val="none"/>
              </w:rPr>
              <w:t>需进行现场踏勘详细了解该标的物的相关情况，且不得损坏所有设施，在报价书中承诺已充分考虑了本标的物的所有情况。</w:t>
            </w:r>
          </w:p>
        </w:tc>
      </w:tr>
      <w:tr>
        <w:trPr>
          <w:trHeight w:val="185"/>
        </w:trPr>
        <w:tc>
          <w:tcPr>
            <w:tcW w:w="959" w:type="dxa"/>
            <w:vMerge/>
          </w:tcPr>
          <w:p/>
        </w:tc>
        <w:tc>
          <w:tcPr>
            <w:tcW w:w="7563" w:type="dxa"/>
            <w:gridSpan w:val="6"/>
            <w:vAlign w:val="center"/>
          </w:tcPr>
          <w:p>
            <w:pPr>
              <w:widowControl/>
              <w:spacing w:line="360" w:lineRule="exact"/>
              <w:jc w:val="left"/>
              <w:rPr>
                <w:rFonts w:ascii="宋体" w:cs="Segoe UI"/>
                <w:bCs/>
                <w:caps/>
                <w:smallCaps w:val="0"/>
                <w:color w:val="auto"/>
                <w:kern w:val="0"/>
                <w:szCs w:val="21"/>
                <w:u w:val="none"/>
              </w:rPr>
            </w:pPr>
            <w:r>
              <w:rPr>
                <w:rFonts w:ascii="宋体" w:cs="Segoe UI" w:hint="eastAsia"/>
                <w:color w:val="auto"/>
                <w:kern w:val="0"/>
                <w:szCs w:val="21"/>
                <w:u w:val="none"/>
              </w:rPr>
              <w:t>3、竞租人对运营</w:t>
            </w:r>
            <w:r>
              <w:rPr>
                <w:rFonts w:hint="eastAsia"/>
                <w:color w:val="auto"/>
                <w:szCs w:val="21"/>
                <w:u w:val="none"/>
              </w:rPr>
              <w:t>招租</w:t>
            </w:r>
            <w:r>
              <w:rPr>
                <w:rFonts w:ascii="宋体" w:cs="Segoe UI" w:hint="eastAsia"/>
                <w:color w:val="auto"/>
                <w:kern w:val="0"/>
                <w:szCs w:val="21"/>
                <w:u w:val="none"/>
              </w:rPr>
              <w:t>公告如有疑点，必须在递交报名资料时间截止前3个工作日（含当日）向重庆市江津区华信资产经营（集团）有限公司资产运营部提出书面质疑；由重庆市江津区华信资产经营（集团）有限公司资产运营部答复，华信公司网站统一书面发布。未在规定时间内提出，视同认可运营</w:t>
            </w:r>
            <w:r>
              <w:rPr>
                <w:rFonts w:hint="eastAsia"/>
                <w:color w:val="auto"/>
                <w:szCs w:val="21"/>
                <w:u w:val="none"/>
              </w:rPr>
              <w:t>招租</w:t>
            </w:r>
            <w:r>
              <w:rPr>
                <w:rFonts w:ascii="宋体" w:cs="Segoe UI" w:hint="eastAsia"/>
                <w:color w:val="auto"/>
                <w:kern w:val="0"/>
                <w:szCs w:val="21"/>
                <w:u w:val="none"/>
              </w:rPr>
              <w:t>公告所有要求；逾期提出异议的，将不再受理。</w:t>
            </w:r>
          </w:p>
        </w:tc>
      </w:tr>
      <w:tr>
        <w:trPr>
          <w:trHeight w:val="185"/>
        </w:trPr>
        <w:tc>
          <w:tcPr>
            <w:tcW w:w="959" w:type="dxa"/>
            <w:vMerge/>
          </w:tcPr>
          <w:p/>
        </w:tc>
        <w:tc>
          <w:tcPr>
            <w:tcW w:w="7563" w:type="dxa"/>
            <w:gridSpan w:val="6"/>
            <w:vAlign w:val="center"/>
          </w:tcPr>
          <w:p>
            <w:pPr>
              <w:widowControl/>
              <w:spacing w:line="360" w:lineRule="exact"/>
              <w:jc w:val="left"/>
              <w:rPr>
                <w:rFonts w:ascii="宋体" w:cs="Segoe UI"/>
                <w:bCs/>
                <w:caps/>
                <w:smallCaps w:val="0"/>
                <w:color w:val="auto"/>
                <w:kern w:val="0"/>
                <w:szCs w:val="21"/>
                <w:u w:val="none"/>
              </w:rPr>
            </w:pPr>
            <w:r>
              <w:rPr>
                <w:rFonts w:ascii="宋体" w:cs="Segoe UI" w:hint="eastAsia"/>
                <w:color w:val="auto"/>
                <w:kern w:val="0"/>
                <w:szCs w:val="21"/>
                <w:u w:val="none"/>
              </w:rPr>
              <w:t>4、华信公司网站对所质疑事项的回复以及对已发出的运营</w:t>
            </w:r>
            <w:r>
              <w:rPr>
                <w:rFonts w:hint="eastAsia"/>
                <w:color w:val="auto"/>
                <w:szCs w:val="21"/>
                <w:u w:val="none"/>
              </w:rPr>
              <w:t>招租</w:t>
            </w:r>
            <w:r>
              <w:rPr>
                <w:rFonts w:ascii="宋体" w:cs="Segoe UI" w:hint="eastAsia"/>
                <w:color w:val="auto"/>
                <w:kern w:val="0"/>
                <w:szCs w:val="21"/>
                <w:u w:val="none"/>
              </w:rPr>
              <w:t>公告进行必要澄清、修改及补充的，均在递交报名资料截止时间前2个工作日（含当日）前在重庆市江津区华信公司网站（http://www.cqjjhxjt.com/）指定位置统一发布，是运营</w:t>
            </w:r>
            <w:r>
              <w:rPr>
                <w:rFonts w:hint="eastAsia"/>
                <w:color w:val="auto"/>
                <w:szCs w:val="21"/>
                <w:u w:val="none"/>
              </w:rPr>
              <w:t>招租</w:t>
            </w:r>
            <w:r>
              <w:rPr>
                <w:rFonts w:ascii="宋体" w:cs="Segoe UI" w:hint="eastAsia"/>
                <w:color w:val="auto"/>
                <w:kern w:val="0"/>
                <w:szCs w:val="21"/>
                <w:u w:val="none"/>
              </w:rPr>
              <w:t>公告的不可分割的部分。当运营招租公告的澄清、修改内容相互矛盾时，以最后发出的澄清、修改及补充公告为准。</w:t>
            </w:r>
          </w:p>
        </w:tc>
      </w:tr>
      <w:tr>
        <w:trPr>
          <w:trHeight w:val="185"/>
        </w:trPr>
        <w:tc>
          <w:tcPr>
            <w:tcW w:w="959" w:type="dxa"/>
            <w:vMerge/>
          </w:tcPr>
          <w:p/>
        </w:tc>
        <w:tc>
          <w:tcPr>
            <w:tcW w:w="7563" w:type="dxa"/>
            <w:gridSpan w:val="6"/>
            <w:vAlign w:val="center"/>
          </w:tcPr>
          <w:p>
            <w:pPr>
              <w:widowControl/>
              <w:spacing w:line="360" w:lineRule="exact"/>
              <w:jc w:val="left"/>
              <w:rPr>
                <w:rFonts w:ascii="宋体" w:cs="Segoe UI" w:hint="eastAsia"/>
                <w:color w:val="000000"/>
                <w:kern w:val="0"/>
                <w:szCs w:val="21"/>
                <w:u w:val="none"/>
              </w:rPr>
            </w:pPr>
            <w:r>
              <w:rPr>
                <w:rFonts w:ascii="宋体" w:cs="Segoe UI" w:hint="eastAsia"/>
                <w:color w:val="000000"/>
                <w:kern w:val="0"/>
                <w:szCs w:val="21"/>
                <w:u w:val="none"/>
              </w:rPr>
              <w:t>5、有关标的具体情况请致电江津区华信资产经营（集团）有限公司</w:t>
            </w:r>
          </w:p>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（电话：023-47559577 ）</w:t>
            </w:r>
          </w:p>
        </w:tc>
      </w:tr>
      <w:tr>
        <w:tc>
          <w:tcPr>
            <w:tcW w:w="8522" w:type="dxa"/>
            <w:gridSpan w:val="7"/>
          </w:tcPr>
          <w:p>
            <w:pPr>
              <w:spacing w:line="360" w:lineRule="exact"/>
              <w:rPr>
                <w:rFonts w:ascii="宋体"/>
              </w:rPr>
            </w:pPr>
            <w:r>
              <w:rPr>
                <w:rFonts w:ascii="宋体" w:cs="Segoe UI" w:hint="eastAsia"/>
                <w:b/>
                <w:color w:val="000000"/>
                <w:kern w:val="0"/>
                <w:sz w:val="19"/>
                <w:u w:val="none"/>
              </w:rPr>
              <w:t>二、报名及交易程序</w:t>
            </w:r>
          </w:p>
        </w:tc>
      </w:tr>
      <w:tr>
        <w:tc>
          <w:tcPr>
            <w:tcW w:w="1951" w:type="dxa"/>
            <w:gridSpan w:val="2"/>
            <w:vAlign w:val="center"/>
          </w:tcPr>
          <w:p>
            <w:pPr>
              <w:spacing w:line="360" w:lineRule="exact"/>
              <w:jc w:val="center"/>
              <w:rPr>
                <w:rFonts w:ascii="宋体"/>
                <w:szCs w:val="21"/>
              </w:rPr>
            </w:pPr>
            <w:r>
              <w:rPr>
                <w:rFonts w:ascii="宋体" w:cs="Segoe UI" w:hint="eastAsia"/>
                <w:b/>
                <w:color w:val="000000"/>
                <w:kern w:val="0"/>
                <w:szCs w:val="21"/>
                <w:u w:val="none"/>
              </w:rPr>
              <w:t>报名资格</w:t>
            </w:r>
          </w:p>
        </w:tc>
        <w:tc>
          <w:tcPr>
            <w:tcW w:w="6571" w:type="dxa"/>
            <w:gridSpan w:val="5"/>
          </w:tcPr>
          <w:p>
            <w:pPr>
              <w:spacing w:line="360" w:lineRule="exact"/>
              <w:ind w:firstLineChars="50" w:firstLine="105"/>
              <w:jc w:val="left"/>
              <w:rPr>
                <w:rFonts w:ascii="宋体"/>
                <w:color w:val="auto"/>
                <w:szCs w:val="21"/>
                <w:u w:val="none"/>
              </w:rPr>
            </w:pPr>
            <w:r>
              <w:rPr>
                <w:rFonts w:ascii="宋体" w:hint="eastAsia"/>
                <w:bCs/>
                <w:color w:val="auto"/>
                <w:szCs w:val="21"/>
                <w:u w:val="none"/>
              </w:rPr>
              <w:t>1、</w:t>
            </w:r>
            <w:r>
              <w:rPr>
                <w:rFonts w:ascii="宋体" w:hint="eastAsia"/>
                <w:color w:val="auto"/>
                <w:szCs w:val="21"/>
                <w:u w:val="none"/>
              </w:rPr>
              <w:t>农业生产经营企业（提供营业执照复印件并加盖鲜章）；</w:t>
            </w:r>
          </w:p>
          <w:p>
            <w:pPr>
              <w:spacing w:line="360" w:lineRule="exact"/>
              <w:ind w:firstLineChars="50" w:firstLine="105"/>
              <w:jc w:val="left"/>
              <w:rPr>
                <w:rFonts w:ascii="宋体"/>
                <w:color w:val="auto"/>
                <w:szCs w:val="21"/>
                <w:u w:val="none"/>
              </w:rPr>
            </w:pPr>
            <w:r>
              <w:rPr>
                <w:rFonts w:ascii="宋体" w:hint="eastAsia"/>
                <w:color w:val="auto"/>
                <w:szCs w:val="21"/>
                <w:u w:val="none"/>
              </w:rPr>
              <w:t>2、有在江津平坝浅丘区类似生态区面积500亩以上、年限2年以上的粮食为主的粮油作物生产经营管理经验（提供土地流转资料—复印件加盖鲜章和区县级农业主管部门出具的近2-3年的粮油种植面积证明）。</w:t>
            </w:r>
          </w:p>
          <w:p>
            <w:pPr>
              <w:pStyle w:val="32"/>
              <w:widowControl/>
              <w:spacing w:beforeAutospacing="0" w:afterAutospacing="0" w:line="360" w:lineRule="exact"/>
              <w:ind w:firstLineChars="50" w:firstLine="105"/>
              <w:rPr>
                <w:rFonts w:ascii="宋体"/>
                <w:sz w:val="21"/>
                <w:szCs w:val="21"/>
              </w:rPr>
            </w:pPr>
            <w:r>
              <w:rPr>
                <w:rFonts w:ascii="宋体" w:hint="eastAsia"/>
                <w:b/>
                <w:bCs/>
                <w:sz w:val="21"/>
                <w:szCs w:val="21"/>
              </w:rPr>
              <w:t>其他条件：</w:t>
            </w:r>
            <w:r>
              <w:rPr>
                <w:rFonts w:ascii="宋体" w:hint="eastAsia"/>
                <w:sz w:val="21"/>
                <w:szCs w:val="21"/>
              </w:rPr>
              <w:t>（一）承包期间，中标方承诺将凉河公司运营管理的黄庄现代粮油科技示范园、农业嘉年华及道路改造等项目建设占用后的流转地764.26亩（其中：田604.28亩，土159.98亩），以田350公斤稻谷、土200公斤稻谷计算实物量，按重庆市江津区现代农业园区发展中心确定的稻谷单价折算为货</w:t>
            </w:r>
            <w:r>
              <w:rPr>
                <w:rFonts w:ascii="宋体" w:hint="eastAsia"/>
                <w:sz w:val="21"/>
                <w:szCs w:val="21"/>
                <w:bdr w:val="none" w:sz="0" w:space="0" w:color="auto"/>
              </w:rPr>
              <w:t>币，</w:t>
            </w:r>
            <w:r>
              <w:rPr>
                <w:rFonts w:ascii="宋体" w:hint="eastAsia"/>
                <w:sz w:val="21"/>
                <w:szCs w:val="21"/>
                <w:bdr w:val="none" w:sz="0" w:space="0" w:color="auto"/>
                <w:lang w:val="en-US" w:eastAsia="zh-CN"/>
              </w:rPr>
              <w:t>2021年4月底前、</w:t>
            </w:r>
            <w:r>
              <w:rPr>
                <w:rFonts w:ascii="宋体" w:hint="eastAsia"/>
                <w:sz w:val="21"/>
                <w:szCs w:val="21"/>
                <w:bdr w:val="none" w:sz="0" w:space="0" w:color="auto"/>
                <w:lang w:eastAsia="zh-CN"/>
              </w:rPr>
              <w:t>其余年度</w:t>
            </w:r>
            <w:r>
              <w:rPr>
                <w:rFonts w:ascii="宋体" w:hint="eastAsia"/>
                <w:sz w:val="21"/>
                <w:szCs w:val="21"/>
              </w:rPr>
              <w:t>每年3月底前分户打款到农户。</w:t>
            </w:r>
          </w:p>
          <w:p>
            <w:pPr>
              <w:pStyle w:val="32"/>
              <w:widowControl/>
              <w:numPr>
                <w:ilvl w:val="0"/>
                <w:numId w:val="1"/>
              </w:numPr>
              <w:spacing w:beforeAutospacing="0" w:afterAutospacing="0" w:line="360" w:lineRule="exact"/>
              <w:ind w:left="0" w:firstLineChars="50" w:firstLine="105"/>
              <w:rPr>
                <w:rFonts w:ascii="宋体" w:hint="eastAsia"/>
                <w:sz w:val="21"/>
                <w:szCs w:val="21"/>
              </w:rPr>
            </w:pPr>
            <w:r>
              <w:rPr>
                <w:rFonts w:ascii="宋体" w:hint="eastAsia"/>
                <w:sz w:val="21"/>
                <w:szCs w:val="21"/>
              </w:rPr>
              <w:t>中标方保证每年免费提供200亩流转地给运营招租方，用于监测、试验、示范等农技推广公益性项目使用。</w:t>
            </w:r>
          </w:p>
          <w:p>
            <w:pPr>
              <w:pStyle w:val="32"/>
              <w:widowControl/>
              <w:numPr>
                <w:ilvl w:val="0"/>
                <w:numId w:val="1"/>
              </w:numPr>
              <w:spacing w:beforeAutospacing="0" w:afterAutospacing="0" w:line="360" w:lineRule="exact"/>
              <w:ind w:left="0" w:firstLineChars="50" w:firstLine="105"/>
              <w:rPr>
                <w:rFonts w:ascii="宋体" w:hint="eastAsia"/>
                <w:sz w:val="21"/>
                <w:szCs w:val="21"/>
              </w:rPr>
            </w:pPr>
            <w:r>
              <w:rPr>
                <w:rFonts w:ascii="宋体" w:hint="eastAsia"/>
                <w:color w:val="auto"/>
                <w:sz w:val="21"/>
                <w:szCs w:val="21"/>
                <w:lang w:eastAsia="zh-CN"/>
                <w:highlight w:val="auto"/>
              </w:rPr>
              <w:t>不履行上述两条中任何一条，均解除合同且不退还履约保证金、并承担其他相应经济损失。</w:t>
            </w:r>
          </w:p>
        </w:tc>
      </w:tr>
      <w:tr>
        <w:tc>
          <w:tcPr>
            <w:tcW w:w="1951" w:type="dxa"/>
            <w:gridSpan w:val="2"/>
            <w:vAlign w:val="center"/>
          </w:tcPr>
          <w:p>
            <w:pPr>
              <w:widowControl/>
              <w:spacing w:line="360" w:lineRule="exact"/>
              <w:jc w:val="center"/>
              <w:rPr>
                <w:rFonts w:ascii="宋体" w:cs="Segoe UI"/>
                <w:bCs/>
                <w:caps/>
                <w:smallCaps w:val="0"/>
                <w:color w:val="212529"/>
                <w:kern w:val="0"/>
                <w:sz w:val="19"/>
                <w:szCs w:val="19"/>
                <w:u w:val="none"/>
              </w:rPr>
            </w:pPr>
            <w:r>
              <w:rPr>
                <w:rFonts w:ascii="宋体" w:cs="Segoe UI" w:hint="eastAsia"/>
                <w:b/>
                <w:color w:val="000000"/>
                <w:kern w:val="0"/>
                <w:sz w:val="19"/>
                <w:u w:val="none"/>
              </w:rPr>
              <w:t>报名时间</w:t>
            </w:r>
          </w:p>
        </w:tc>
        <w:tc>
          <w:tcPr>
            <w:tcW w:w="6571" w:type="dxa"/>
            <w:gridSpan w:val="5"/>
            <w:vAlign w:val="center"/>
          </w:tcPr>
          <w:p>
            <w:pPr>
              <w:spacing w:line="360" w:lineRule="exact"/>
              <w:ind w:firstLineChars="50" w:firstLine="105"/>
              <w:jc w:val="left"/>
              <w:rPr>
                <w:rFonts w:ascii="宋体" w:cs="Segoe UI"/>
                <w:bCs/>
                <w:caps/>
                <w:smallCaps w:val="0"/>
                <w:color w:val="3333FF"/>
                <w:kern w:val="0"/>
                <w:szCs w:val="21"/>
                <w:u w:val="none"/>
                <w:shd w:val="pct15" w:color="auto" w:fill="FFFFFF"/>
              </w:rPr>
            </w:pPr>
            <w:r>
              <w:rPr>
                <w:rFonts w:ascii="宋体" w:cs="Segoe UI" w:hint="eastAsia"/>
                <w:color w:val="auto"/>
                <w:kern w:val="0"/>
                <w:szCs w:val="21"/>
                <w:u w:val="none"/>
                <w:bdr w:val="none" w:sz="0" w:space="0" w:color="auto"/>
              </w:rPr>
              <w:t>2021年4月13日（法定工作时间）</w:t>
            </w:r>
          </w:p>
        </w:tc>
      </w:tr>
      <w:tr>
        <w:tc>
          <w:tcPr>
            <w:tcW w:w="1951" w:type="dxa"/>
            <w:gridSpan w:val="2"/>
            <w:vAlign w:val="center"/>
          </w:tcPr>
          <w:p>
            <w:pPr>
              <w:widowControl/>
              <w:spacing w:line="360" w:lineRule="exact"/>
              <w:jc w:val="center"/>
              <w:rPr>
                <w:rFonts w:ascii="宋体" w:cs="Segoe UI"/>
                <w:bCs/>
                <w:caps/>
                <w:smallCaps w:val="0"/>
                <w:color w:val="212529"/>
                <w:kern w:val="0"/>
                <w:sz w:val="19"/>
                <w:szCs w:val="19"/>
                <w:u w:val="none"/>
              </w:rPr>
            </w:pPr>
            <w:r>
              <w:rPr>
                <w:rFonts w:ascii="宋体" w:cs="Segoe UI" w:hint="eastAsia"/>
                <w:b/>
                <w:color w:val="000000"/>
                <w:kern w:val="0"/>
                <w:sz w:val="19"/>
                <w:u w:val="none"/>
              </w:rPr>
              <w:t>报名地点</w:t>
            </w:r>
          </w:p>
        </w:tc>
        <w:tc>
          <w:tcPr>
            <w:tcW w:w="6571" w:type="dxa"/>
            <w:gridSpan w:val="5"/>
            <w:vAlign w:val="center"/>
          </w:tcPr>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重庆市江津区华信资产经营（集团)有限公司资产运营部</w:t>
            </w:r>
          </w:p>
        </w:tc>
      </w:tr>
      <w:tr>
        <w:tc>
          <w:tcPr>
            <w:tcW w:w="1951" w:type="dxa"/>
            <w:gridSpan w:val="2"/>
            <w:vAlign w:val="center"/>
          </w:tcPr>
          <w:p>
            <w:pPr>
              <w:spacing w:line="360" w:lineRule="exact"/>
              <w:jc w:val="center"/>
              <w:rPr>
                <w:rFonts w:ascii="宋体"/>
              </w:rPr>
            </w:pPr>
            <w:r>
              <w:rPr>
                <w:rFonts w:ascii="宋体" w:cs="Segoe UI" w:hint="eastAsia"/>
                <w:b/>
                <w:color w:val="000000"/>
                <w:kern w:val="0"/>
                <w:sz w:val="19"/>
                <w:u w:val="none"/>
              </w:rPr>
              <w:t>报名程序</w:t>
            </w:r>
          </w:p>
        </w:tc>
        <w:tc>
          <w:tcPr>
            <w:tcW w:w="6571" w:type="dxa"/>
            <w:gridSpan w:val="5"/>
          </w:tcPr>
          <w:p>
            <w:pPr>
              <w:spacing w:line="360" w:lineRule="exact"/>
              <w:ind w:firstLineChars="50" w:firstLine="105"/>
              <w:jc w:val="left"/>
              <w:rPr>
                <w:rFonts w:ascii="宋体" w:cs="Segoe UI" w:hint="eastAsia"/>
                <w:color w:val="auto"/>
                <w:kern w:val="0"/>
                <w:szCs w:val="21"/>
                <w:u w:val="none"/>
                <w:highlight w:val="auto"/>
              </w:rPr>
            </w:pPr>
            <w:r>
              <w:rPr>
                <w:rFonts w:ascii="宋体" w:cs="Segoe UI" w:hint="eastAsia"/>
                <w:color w:val="auto"/>
                <w:kern w:val="0"/>
                <w:szCs w:val="21"/>
                <w:u w:val="none"/>
                <w:highlight w:val="auto"/>
              </w:rPr>
              <w:t>1、交易保证金：交纳交易保证金只能通过电汇或网银方式缴纳，不得使用其它方式进账。转款时汇出账号必须与申请人的户名和账号一致，本项目保证金30000.00交纳到指定账户</w:t>
            </w:r>
            <w:r>
              <w:rPr>
                <w:rFonts w:ascii="宋体" w:cs="Segoe UI" w:hint="eastAsia"/>
                <w:color w:val="auto"/>
                <w:kern w:val="0"/>
                <w:szCs w:val="21"/>
                <w:u w:val="none"/>
                <w:lang w:eastAsia="zh-CN"/>
                <w:highlight w:val="auto"/>
              </w:rPr>
              <w:t>（签订合同后统一退回）</w:t>
            </w:r>
            <w:r>
              <w:rPr>
                <w:rFonts w:ascii="宋体" w:cs="Segoe UI" w:hint="eastAsia"/>
                <w:color w:val="auto"/>
                <w:kern w:val="0"/>
                <w:szCs w:val="21"/>
                <w:u w:val="none"/>
                <w:highlight w:val="auto"/>
              </w:rPr>
              <w:t>，用途栏或备注栏注明：</w:t>
            </w:r>
            <w:r>
              <w:rPr>
                <w:rFonts w:ascii="宋体" w:cs="Segoe UI" w:hint="eastAsia"/>
                <w:caps/>
                <w:smallCaps w:val="0"/>
                <w:color w:val="auto"/>
                <w:kern w:val="0"/>
                <w:szCs w:val="21"/>
                <w:u w:val="none"/>
                <w:highlight w:val="auto"/>
              </w:rPr>
              <w:t>黄庄现代粮油科技示范园整体运营</w:t>
            </w:r>
            <w:r>
              <w:rPr>
                <w:rFonts w:ascii="宋体" w:cs="Segoe UI" w:hint="eastAsia"/>
                <w:color w:val="auto"/>
                <w:kern w:val="0"/>
                <w:szCs w:val="21"/>
                <w:u w:val="none"/>
                <w:highlight w:val="auto"/>
              </w:rPr>
              <w:t>。（账户信息见后）</w:t>
            </w:r>
          </w:p>
          <w:p>
            <w:pPr>
              <w:spacing w:line="360" w:lineRule="exact"/>
              <w:ind w:firstLineChars="50" w:firstLine="105"/>
              <w:jc w:val="left"/>
              <w:rPr>
                <w:rFonts w:ascii="宋体" w:cs="Segoe UI" w:hint="eastAsia"/>
                <w:color w:val="3333FF"/>
                <w:kern w:val="0"/>
                <w:szCs w:val="21"/>
                <w:u w:val="none"/>
              </w:rPr>
            </w:pPr>
            <w:r>
              <w:rPr>
                <w:rFonts w:ascii="宋体" w:cs="Segoe UI" w:hint="eastAsia"/>
                <w:color w:val="auto"/>
                <w:kern w:val="0"/>
                <w:szCs w:val="21"/>
                <w:u w:val="none"/>
                <w:bdr w:val="none" w:sz="0" w:space="0" w:color="auto"/>
              </w:rPr>
              <w:t>2、交易</w:t>
            </w:r>
            <w:r>
              <w:rPr>
                <w:rFonts w:ascii="宋体" w:cs="Segoe UI" w:hint="eastAsia"/>
                <w:color w:val="000000"/>
                <w:kern w:val="0"/>
                <w:szCs w:val="21"/>
                <w:u w:val="none"/>
                <w:bdr w:val="none" w:sz="0" w:space="0" w:color="auto"/>
              </w:rPr>
              <w:t>保证金交纳截止时间：2021年4月13日17：00时（以到达指定帐户时间为准）</w:t>
            </w:r>
          </w:p>
          <w:p>
            <w:pPr>
              <w:spacing w:line="360" w:lineRule="exact"/>
              <w:ind w:firstLineChars="50" w:firstLine="105"/>
              <w:jc w:val="left"/>
              <w:rPr>
                <w:rFonts w:ascii="宋体"/>
                <w:szCs w:val="21"/>
              </w:rPr>
            </w:pPr>
            <w:r>
              <w:rPr>
                <w:rFonts w:ascii="宋体" w:cs="Segoe UI" w:hint="eastAsia"/>
                <w:color w:val="000000"/>
                <w:kern w:val="0"/>
                <w:szCs w:val="21"/>
                <w:u w:val="none"/>
              </w:rPr>
              <w:t>3、申请文件：提交申请文件时，申请人为法</w:t>
            </w:r>
            <w:r>
              <w:rPr>
                <w:rFonts w:ascii="宋体" w:cs="Segoe UI" w:hint="eastAsia"/>
                <w:color w:val="auto"/>
                <w:kern w:val="0"/>
                <w:szCs w:val="21"/>
                <w:u w:val="none"/>
                <w:bdr w:val="none" w:sz="0" w:space="0" w:color="auto"/>
              </w:rPr>
              <w:t>人或其他组织的，法定代表人（单位负责人）或授权代表须携带单位有效证件（营业执照、开户许可证等）原件、</w:t>
            </w:r>
            <w:r>
              <w:rPr>
                <w:rFonts w:ascii="宋体" w:hint="eastAsia"/>
                <w:color w:val="auto"/>
                <w:szCs w:val="21"/>
                <w:u w:val="none"/>
                <w:bdr w:val="none" w:sz="0" w:space="0" w:color="auto"/>
              </w:rPr>
              <w:t>有在江津平坝浅丘区类似生态区面</w:t>
            </w:r>
            <w:r>
              <w:rPr>
                <w:rFonts w:ascii="宋体" w:hint="eastAsia"/>
                <w:color w:val="auto"/>
                <w:szCs w:val="21"/>
                <w:u w:val="none"/>
              </w:rPr>
              <w:t>积500亩以上、年限2年以上的粮食为主的粮油作物生产经营管理经验（提供土地流转资料—复印件加盖鲜章和区县级农业主管部门出具的近2-3年的粮油种植面积证明）</w:t>
            </w:r>
            <w:r>
              <w:rPr>
                <w:rFonts w:ascii="宋体" w:cs="Segoe UI" w:hint="eastAsia"/>
                <w:color w:val="000000"/>
                <w:kern w:val="0"/>
                <w:szCs w:val="21"/>
                <w:u w:val="none"/>
              </w:rPr>
              <w:t>和本人身份证原件，授权人需带上单位授权书。</w:t>
            </w:r>
          </w:p>
          <w:p>
            <w:pPr>
              <w:spacing w:line="360" w:lineRule="exact"/>
              <w:rPr>
                <w:rFonts w:ascii="宋体"/>
                <w:szCs w:val="21"/>
              </w:rPr>
            </w:pPr>
            <w:r>
              <w:rPr>
                <w:rFonts w:ascii="宋体" w:cs="Segoe UI" w:hint="eastAsia"/>
                <w:color w:val="000000"/>
                <w:kern w:val="0"/>
                <w:szCs w:val="21"/>
                <w:u w:val="none"/>
              </w:rPr>
              <w:t>4、资格确认：华信公司资产运营部向符合要求的竞租人出具资格确认书和第一次书面报价单。</w:t>
            </w:r>
          </w:p>
        </w:tc>
      </w:tr>
      <w:tr>
        <w:trPr>
          <w:trHeight w:val="2159"/>
        </w:trPr>
        <w:tc>
          <w:tcPr>
            <w:tcW w:w="1951" w:type="dxa"/>
            <w:gridSpan w:val="2"/>
            <w:vAlign w:val="center"/>
          </w:tcPr>
          <w:p>
            <w:pPr>
              <w:spacing w:line="360" w:lineRule="exact"/>
              <w:jc w:val="center"/>
              <w:rPr>
                <w:rFonts w:ascii="宋体"/>
              </w:rPr>
            </w:pPr>
            <w:r>
              <w:rPr>
                <w:rFonts w:ascii="宋体" w:cs="Segoe UI" w:hint="eastAsia"/>
                <w:b/>
                <w:color w:val="000000"/>
                <w:kern w:val="0"/>
                <w:sz w:val="19"/>
                <w:u w:val="none"/>
              </w:rPr>
              <w:t>交易方式</w:t>
            </w:r>
          </w:p>
        </w:tc>
        <w:tc>
          <w:tcPr>
            <w:tcW w:w="6571" w:type="dxa"/>
            <w:gridSpan w:val="5"/>
          </w:tcPr>
          <w:p>
            <w:pPr>
              <w:spacing w:line="360" w:lineRule="exact"/>
              <w:rPr>
                <w:rFonts w:ascii="宋体" w:cs="Segoe UI"/>
                <w:color w:val="000000"/>
                <w:kern w:val="0"/>
                <w:szCs w:val="21"/>
                <w:u w:val="none"/>
              </w:rPr>
            </w:pPr>
            <w:r>
              <w:rPr>
                <w:rFonts w:ascii="宋体" w:cs="Segoe UI" w:hint="eastAsia"/>
                <w:color w:val="000000"/>
                <w:kern w:val="0"/>
                <w:szCs w:val="21"/>
                <w:u w:val="none"/>
              </w:rPr>
              <w:t>1、本次交易采取第一次书面报价加现场多轮竞价方式。以价高者得的原则确定成交人。</w:t>
            </w:r>
          </w:p>
          <w:p>
            <w:pPr>
              <w:spacing w:line="360" w:lineRule="exact"/>
              <w:rPr>
                <w:rFonts w:ascii="宋体" w:cs="Segoe UI"/>
                <w:color w:val="000000"/>
                <w:kern w:val="0"/>
                <w:szCs w:val="21"/>
                <w:u w:val="none"/>
              </w:rPr>
            </w:pPr>
            <w:r>
              <w:rPr>
                <w:rFonts w:ascii="宋体" w:cs="Segoe UI" w:hint="eastAsia"/>
                <w:color w:val="000000"/>
                <w:kern w:val="0"/>
                <w:szCs w:val="21"/>
                <w:u w:val="none"/>
              </w:rPr>
              <w:t>2、如审查合格竞租人只有一家，且报价不低于招租底价的，确定其为成交人，成交人的第一次书面报价为成交价。</w:t>
            </w:r>
          </w:p>
          <w:p>
            <w:pPr>
              <w:spacing w:line="360" w:lineRule="exact"/>
              <w:rPr>
                <w:rFonts w:ascii="宋体" w:cs="Segoe UI"/>
                <w:color w:val="000000"/>
                <w:kern w:val="0"/>
                <w:szCs w:val="21"/>
                <w:u w:val="none"/>
              </w:rPr>
            </w:pPr>
            <w:r>
              <w:rPr>
                <w:rFonts w:ascii="宋体" w:cs="Segoe UI" w:hint="eastAsia"/>
                <w:color w:val="000000"/>
                <w:kern w:val="0"/>
                <w:szCs w:val="21"/>
                <w:u w:val="none"/>
              </w:rPr>
              <w:t>3、如审查合格有效报价的竞租人只有两家或三家的，则直接进入现场竞价环节，按现场竞价规则确定成交人。</w:t>
            </w:r>
          </w:p>
          <w:p>
            <w:pPr>
              <w:spacing w:line="360" w:lineRule="exact"/>
              <w:rPr>
                <w:rFonts w:ascii="宋体" w:cs="Segoe UI"/>
                <w:color w:val="000000"/>
                <w:kern w:val="0"/>
                <w:szCs w:val="21"/>
                <w:u w:val="none"/>
              </w:rPr>
            </w:pPr>
            <w:r>
              <w:rPr>
                <w:rFonts w:ascii="宋体" w:cs="Segoe UI" w:hint="eastAsia"/>
                <w:color w:val="000000"/>
                <w:kern w:val="0"/>
                <w:szCs w:val="21"/>
                <w:u w:val="none"/>
              </w:rPr>
              <w:t>4、如审查合格有效报价的竞租人有三家以上的，则取前三个最高价格的报价人取得现场竞价资格。同时以第一次书面报价的最高价作为起始价，按现场竞价规则确定成交人。</w:t>
            </w:r>
          </w:p>
        </w:tc>
      </w:tr>
      <w:tr>
        <w:tc>
          <w:tcPr>
            <w:tcW w:w="1951" w:type="dxa"/>
            <w:gridSpan w:val="2"/>
            <w:vAlign w:val="center"/>
          </w:tcPr>
          <w:p>
            <w:pPr>
              <w:spacing w:line="360" w:lineRule="exact"/>
              <w:jc w:val="center"/>
              <w:rPr>
                <w:rFonts w:ascii="宋体"/>
                <w:szCs w:val="21"/>
              </w:rPr>
            </w:pPr>
            <w:r>
              <w:rPr>
                <w:rFonts w:ascii="宋体" w:cs="Segoe UI" w:hint="eastAsia"/>
                <w:b/>
                <w:color w:val="000000"/>
                <w:kern w:val="0"/>
                <w:szCs w:val="21"/>
                <w:u w:val="none"/>
              </w:rPr>
              <w:t>交易程序</w:t>
            </w:r>
          </w:p>
        </w:tc>
        <w:tc>
          <w:tcPr>
            <w:tcW w:w="1314" w:type="dxa"/>
            <w:vAlign w:val="center"/>
          </w:tcPr>
          <w:p>
            <w:pPr>
              <w:spacing w:line="360" w:lineRule="exact"/>
              <w:jc w:val="center"/>
              <w:rPr>
                <w:rFonts w:ascii="宋体"/>
                <w:szCs w:val="21"/>
              </w:rPr>
            </w:pPr>
            <w:r>
              <w:rPr>
                <w:rFonts w:ascii="宋体" w:cs="Segoe UI" w:hint="eastAsia"/>
                <w:color w:val="000000"/>
                <w:kern w:val="0"/>
                <w:szCs w:val="21"/>
                <w:u w:val="none"/>
              </w:rPr>
              <w:t>提交第一次书面报价</w:t>
            </w:r>
          </w:p>
        </w:tc>
        <w:tc>
          <w:tcPr>
            <w:tcW w:w="5257" w:type="dxa"/>
            <w:gridSpan w:val="4"/>
          </w:tcPr>
          <w:p>
            <w:pPr>
              <w:spacing w:line="360" w:lineRule="exact"/>
              <w:rPr>
                <w:rFonts w:ascii="宋体" w:cs="Segoe UI"/>
                <w:color w:val="3333FF"/>
                <w:kern w:val="0"/>
                <w:szCs w:val="21"/>
                <w:u w:val="none"/>
              </w:rPr>
            </w:pPr>
            <w:r>
              <w:rPr>
                <w:rFonts w:ascii="宋体" w:cs="Segoe UI" w:hint="eastAsia"/>
                <w:color w:val="000000"/>
                <w:kern w:val="0"/>
                <w:szCs w:val="21"/>
                <w:u w:val="none"/>
              </w:rPr>
              <w:t>1、</w:t>
            </w:r>
            <w:r>
              <w:rPr>
                <w:rFonts w:ascii="宋体" w:cs="Segoe UI" w:hint="eastAsia"/>
                <w:color w:val="000000"/>
                <w:kern w:val="0"/>
                <w:szCs w:val="21"/>
                <w:u w:val="none"/>
                <w:bdr w:val="none" w:sz="0" w:space="0" w:color="auto"/>
              </w:rPr>
              <w:t>时间：2021年4月14日10：00-10:20</w:t>
            </w:r>
          </w:p>
          <w:p>
            <w:pPr>
              <w:spacing w:line="360" w:lineRule="exact"/>
              <w:rPr>
                <w:rFonts w:ascii="宋体" w:cs="Segoe UI"/>
                <w:color w:val="000000"/>
                <w:kern w:val="0"/>
                <w:szCs w:val="21"/>
                <w:u w:val="none"/>
              </w:rPr>
            </w:pPr>
            <w:r>
              <w:rPr>
                <w:rFonts w:ascii="宋体" w:cs="Segoe UI" w:hint="eastAsia"/>
                <w:color w:val="000000"/>
                <w:kern w:val="0"/>
                <w:szCs w:val="21"/>
                <w:u w:val="none"/>
              </w:rPr>
              <w:t>2、地点：华信公司资产运营部</w:t>
            </w:r>
          </w:p>
          <w:p>
            <w:pPr>
              <w:spacing w:line="360" w:lineRule="exact"/>
              <w:rPr>
                <w:rFonts w:ascii="宋体"/>
                <w:szCs w:val="21"/>
              </w:rPr>
            </w:pPr>
            <w:r>
              <w:rPr>
                <w:rFonts w:ascii="宋体" w:cs="Segoe UI" w:hint="eastAsia"/>
                <w:color w:val="000000"/>
                <w:kern w:val="0"/>
                <w:szCs w:val="21"/>
                <w:u w:val="none"/>
              </w:rPr>
              <w:t>3、程序：取得竞价资格的竞租人将密封好的报价单交至华信公司资产运营部，华信公司资产运营部工作人员当场开启、依次宣布竞租人第一次书面报价，并按由高到低的顺序排列报价。前三个最高价格的报价人取得现场竞价资格。</w:t>
            </w:r>
          </w:p>
        </w:tc>
      </w:tr>
      <w:tr>
        <w:tc>
          <w:tcPr>
            <w:tcW w:w="1951" w:type="dxa"/>
            <w:gridSpan w:val="2"/>
            <w:vMerge w:val="restart"/>
            <w:vAlign w:val="center"/>
          </w:tcPr>
          <w:p>
            <w:pPr>
              <w:spacing w:line="360" w:lineRule="exact"/>
              <w:jc w:val="center"/>
              <w:rPr>
                <w:rFonts w:ascii="宋体" w:cs="Segoe UI"/>
                <w:b/>
                <w:color w:val="000000"/>
                <w:kern w:val="0"/>
                <w:szCs w:val="21"/>
                <w:u w:val="none"/>
              </w:rPr>
            </w:pPr>
            <w:r>
              <w:rPr>
                <w:rFonts w:ascii="宋体" w:cs="Segoe UI" w:hint="eastAsia"/>
                <w:b/>
                <w:color w:val="000000"/>
                <w:kern w:val="0"/>
                <w:szCs w:val="21"/>
                <w:u w:val="none"/>
              </w:rPr>
              <w:t>交易程序</w:t>
            </w:r>
          </w:p>
        </w:tc>
        <w:tc>
          <w:tcPr>
            <w:tcW w:w="1314" w:type="dxa"/>
            <w:vAlign w:val="center"/>
          </w:tcPr>
          <w:p>
            <w:pPr>
              <w:spacing w:line="360" w:lineRule="exact"/>
              <w:jc w:val="center"/>
              <w:rPr>
                <w:rFonts w:ascii="宋体"/>
                <w:color w:val="auto"/>
                <w:szCs w:val="21"/>
              </w:rPr>
            </w:pPr>
            <w:r>
              <w:rPr>
                <w:rFonts w:ascii="宋体" w:cs="Segoe UI" w:hint="eastAsia"/>
                <w:color w:val="auto"/>
                <w:kern w:val="0"/>
                <w:szCs w:val="21"/>
                <w:u w:val="none"/>
              </w:rPr>
              <w:t>现场竞价会</w:t>
            </w:r>
          </w:p>
        </w:tc>
        <w:tc>
          <w:tcPr>
            <w:tcW w:w="5257" w:type="dxa"/>
            <w:gridSpan w:val="4"/>
          </w:tcPr>
          <w:p>
            <w:pPr>
              <w:spacing w:line="360" w:lineRule="exact"/>
              <w:rPr>
                <w:rFonts w:ascii="宋体" w:hint="eastAsia"/>
                <w:color w:val="auto"/>
                <w:szCs w:val="21"/>
                <w:u w:val="none"/>
                <w:bdr w:val="none" w:sz="0" w:space="0" w:color="auto"/>
              </w:rPr>
            </w:pPr>
            <w:r>
              <w:rPr>
                <w:rFonts w:ascii="宋体" w:cs="Segoe UI" w:hint="eastAsia"/>
                <w:color w:val="auto"/>
                <w:kern w:val="0"/>
                <w:szCs w:val="21"/>
                <w:u w:val="none"/>
              </w:rPr>
              <w:t>1、</w:t>
            </w:r>
            <w:r>
              <w:rPr>
                <w:rFonts w:ascii="宋体" w:cs="Segoe UI" w:hint="eastAsia"/>
                <w:color w:val="auto"/>
                <w:kern w:val="0"/>
                <w:szCs w:val="21"/>
                <w:u w:val="none"/>
                <w:bdr w:val="none" w:sz="0" w:space="0" w:color="auto"/>
              </w:rPr>
              <w:t>时</w:t>
            </w:r>
            <w:r>
              <w:rPr>
                <w:rFonts w:ascii="宋体" w:hint="eastAsia"/>
                <w:color w:val="auto"/>
                <w:szCs w:val="21"/>
                <w:u w:val="none"/>
                <w:bdr w:val="none" w:sz="0" w:space="0" w:color="auto"/>
              </w:rPr>
              <w:t>间：2021年4月14日10:30</w:t>
            </w:r>
          </w:p>
          <w:p>
            <w:pPr>
              <w:spacing w:line="360" w:lineRule="exact"/>
              <w:rPr>
                <w:rFonts w:ascii="宋体"/>
                <w:color w:val="auto"/>
                <w:szCs w:val="21"/>
              </w:rPr>
            </w:pPr>
            <w:r>
              <w:rPr>
                <w:rFonts w:ascii="宋体" w:cs="Segoe UI" w:hint="eastAsia"/>
                <w:color w:val="auto"/>
                <w:kern w:val="0"/>
                <w:szCs w:val="21"/>
                <w:u w:val="none"/>
              </w:rPr>
              <w:t>2、地点：华信公司资产运营部</w:t>
            </w:r>
          </w:p>
          <w:p>
            <w:pPr>
              <w:spacing w:line="360" w:lineRule="exact"/>
              <w:rPr>
                <w:rFonts w:ascii="宋体"/>
                <w:color w:val="auto"/>
                <w:szCs w:val="21"/>
                <w:u w:val="none"/>
              </w:rPr>
            </w:pPr>
            <w:r>
              <w:rPr>
                <w:rFonts w:ascii="宋体" w:hint="eastAsia"/>
                <w:color w:val="auto"/>
                <w:szCs w:val="21"/>
                <w:u w:val="none"/>
              </w:rPr>
              <w:t>3、现场竞价起始价为第一次书面报价的最高价，竞租人参与现场竞价时必须在起始价的基础上增价，增价幅度为5000.00元/年的整数倍，直到出现最高价。现场每轮竞价的起始价均为上轮报价的最高价。如现场出现两个以上（含两个）相同的最高报价且无人继续再报更高价位的报价时，那么流拍（约定享有优先租赁权的除外，如相同最高报价中有享有优先租赁权的竞租人，则由享有优先租赁权的竞租人为成交人）。如果出现并列第二名时，且价差不能高于10%的情况下，必须在并列第二名投标人中重新现场竞价（此次增价幅度为加价幅度10%的整数倍），确定二、三名排名（此次报价不得低于并列第二名时的报价）。</w:t>
            </w:r>
          </w:p>
          <w:p>
            <w:pPr>
              <w:spacing w:line="360" w:lineRule="exact"/>
              <w:rPr>
                <w:rFonts w:ascii="宋体"/>
                <w:color w:val="auto"/>
                <w:szCs w:val="21"/>
                <w:u w:val="none"/>
              </w:rPr>
            </w:pPr>
            <w:r>
              <w:rPr>
                <w:rFonts w:ascii="宋体" w:hint="eastAsia"/>
                <w:color w:val="auto"/>
                <w:szCs w:val="21"/>
                <w:u w:val="none"/>
              </w:rPr>
              <w:t>4、若现场竞价无人报价，则确定第一次书面报价最高报价者为成交人。竞租人在现场竞价中一旦不提交书面报价，即视为退出竞价，不得在此后的竞价中再次提交报价。</w:t>
            </w:r>
          </w:p>
          <w:p>
            <w:pPr>
              <w:spacing w:line="360" w:lineRule="exact"/>
              <w:rPr>
                <w:rFonts w:ascii="宋体"/>
                <w:color w:val="auto"/>
                <w:szCs w:val="21"/>
                <w:u w:val="none"/>
              </w:rPr>
            </w:pPr>
            <w:r>
              <w:rPr>
                <w:rFonts w:ascii="宋体" w:hint="eastAsia"/>
                <w:color w:val="auto"/>
                <w:szCs w:val="21"/>
                <w:u w:val="none"/>
              </w:rPr>
              <w:t>5、若竞租人参与现场竞价时未按竞价规定报价，其报价无效同时失去下一轮竞价资格。</w:t>
            </w:r>
          </w:p>
          <w:p>
            <w:pPr>
              <w:spacing w:line="360" w:lineRule="exact"/>
              <w:rPr>
                <w:rFonts w:ascii="宋体"/>
                <w:color w:val="auto"/>
                <w:szCs w:val="21"/>
                <w:u w:val="none"/>
              </w:rPr>
            </w:pPr>
            <w:r>
              <w:rPr>
                <w:rFonts w:ascii="宋体" w:hint="eastAsia"/>
                <w:color w:val="auto"/>
                <w:szCs w:val="21"/>
                <w:u w:val="none"/>
              </w:rPr>
              <w:t>6、出现成交后弃标或被取消成交资格情况时，且第二成交顺序人的报价与第一成交人报价差额在10%（10%含）以内，可顺延为成交人，也可重新组织公开招租。</w:t>
            </w:r>
          </w:p>
        </w:tc>
      </w:tr>
      <w:tr>
        <w:tc>
          <w:tcPr>
            <w:tcW w:w="1951" w:type="dxa"/>
            <w:gridSpan w:val="2"/>
            <w:vMerge/>
          </w:tcPr>
          <w:p/>
        </w:tc>
        <w:tc>
          <w:tcPr>
            <w:tcW w:w="6571" w:type="dxa"/>
            <w:gridSpan w:val="5"/>
          </w:tcPr>
          <w:p>
            <w:pPr>
              <w:spacing w:line="360" w:lineRule="exact"/>
              <w:rPr>
                <w:rFonts w:ascii="宋体" w:cs="Segoe UI"/>
                <w:color w:val="auto"/>
                <w:kern w:val="0"/>
                <w:szCs w:val="21"/>
                <w:u w:val="none"/>
              </w:rPr>
            </w:pPr>
            <w:r>
              <w:rPr>
                <w:rFonts w:ascii="宋体" w:cs="Segoe UI" w:hint="eastAsia"/>
                <w:color w:val="auto"/>
                <w:kern w:val="0"/>
                <w:szCs w:val="21"/>
                <w:u w:val="none"/>
              </w:rPr>
              <w:t>注1、法人或其他组织参与竞价的，须法人（组织负责人）或授权代表到场；</w:t>
            </w:r>
          </w:p>
          <w:p>
            <w:pPr>
              <w:spacing w:line="360" w:lineRule="exact"/>
              <w:rPr>
                <w:rFonts w:ascii="宋体" w:cs="Segoe UI"/>
                <w:color w:val="auto"/>
                <w:kern w:val="0"/>
                <w:szCs w:val="21"/>
                <w:u w:val="none"/>
              </w:rPr>
            </w:pPr>
            <w:r>
              <w:rPr>
                <w:rFonts w:ascii="宋体" w:cs="Segoe UI" w:hint="eastAsia"/>
                <w:color w:val="auto"/>
                <w:kern w:val="0"/>
                <w:szCs w:val="21"/>
                <w:u w:val="none"/>
              </w:rPr>
              <w:t>2、参加现场竞价会的竞租人须持资格确认书及有效身份证。</w:t>
            </w:r>
          </w:p>
        </w:tc>
      </w:tr>
      <w:tr>
        <w:tc>
          <w:tcPr>
            <w:tcW w:w="1951" w:type="dxa"/>
            <w:gridSpan w:val="2"/>
            <w:vAlign w:val="center"/>
          </w:tcPr>
          <w:p>
            <w:pPr>
              <w:spacing w:line="360" w:lineRule="exact"/>
              <w:jc w:val="center"/>
              <w:rPr>
                <w:rFonts w:ascii="宋体"/>
                <w:szCs w:val="21"/>
              </w:rPr>
            </w:pPr>
            <w:r>
              <w:rPr>
                <w:rFonts w:ascii="宋体" w:cs="Segoe UI" w:hint="eastAsia"/>
                <w:b/>
                <w:color w:val="000000"/>
                <w:kern w:val="0"/>
                <w:szCs w:val="21"/>
                <w:u w:val="none"/>
              </w:rPr>
              <w:t>成交</w:t>
            </w:r>
          </w:p>
        </w:tc>
        <w:tc>
          <w:tcPr>
            <w:tcW w:w="6571" w:type="dxa"/>
            <w:gridSpan w:val="5"/>
          </w:tcPr>
          <w:p>
            <w:pPr>
              <w:spacing w:line="360" w:lineRule="exact"/>
              <w:rPr>
                <w:rFonts w:ascii="宋体"/>
                <w:color w:val="auto"/>
                <w:szCs w:val="21"/>
              </w:rPr>
            </w:pPr>
            <w:r>
              <w:rPr>
                <w:rFonts w:ascii="宋体" w:cs="Segoe UI" w:hint="eastAsia"/>
                <w:color w:val="auto"/>
                <w:kern w:val="0"/>
                <w:szCs w:val="21"/>
                <w:u w:val="none"/>
              </w:rPr>
              <w:t>1、成交后，中标人经公示3个工作日无异议后。中标人再与华信公司资产运营部签订《运营招租合同》、《安全责任协议书》和1年的租金。</w:t>
            </w:r>
          </w:p>
          <w:p>
            <w:pPr>
              <w:spacing w:line="360" w:lineRule="exact"/>
              <w:rPr>
                <w:rFonts w:ascii="宋体"/>
                <w:color w:val="auto"/>
                <w:szCs w:val="21"/>
              </w:rPr>
            </w:pPr>
            <w:r>
              <w:rPr>
                <w:rFonts w:ascii="宋体" w:cs="Segoe UI" w:hint="eastAsia"/>
                <w:color w:val="auto"/>
                <w:kern w:val="0"/>
                <w:szCs w:val="21"/>
                <w:u w:val="none"/>
              </w:rPr>
              <w:t>2、中标人须交纳人民币20000.00元（大写：贰万圆整）履约保证金。运营期限到期时，经双方确认无异议后退回，履约保证金不计利息。</w:t>
            </w:r>
          </w:p>
        </w:tc>
      </w:tr>
      <w:tr>
        <w:tc>
          <w:tcPr>
            <w:tcW w:w="8522" w:type="dxa"/>
            <w:gridSpan w:val="7"/>
            <w:vAlign w:val="center"/>
          </w:tcPr>
          <w:p>
            <w:pPr>
              <w:spacing w:line="360" w:lineRule="exact"/>
              <w:rPr>
                <w:rFonts w:ascii="宋体" w:cs="Segoe UI"/>
                <w:color w:val="000000"/>
                <w:kern w:val="0"/>
                <w:szCs w:val="21"/>
                <w:u w:val="none"/>
              </w:rPr>
            </w:pPr>
            <w:r>
              <w:rPr>
                <w:rFonts w:ascii="宋体" w:cs="Segoe UI" w:hint="eastAsia"/>
                <w:b/>
                <w:color w:val="000000"/>
                <w:kern w:val="0"/>
                <w:szCs w:val="21"/>
                <w:u w:val="none"/>
              </w:rPr>
              <w:t>三、交易机构联系方式及账户</w:t>
            </w:r>
          </w:p>
        </w:tc>
      </w:tr>
      <w:tr>
        <w:tc>
          <w:tcPr>
            <w:tcW w:w="1951" w:type="dxa"/>
            <w:gridSpan w:val="2"/>
            <w:vAlign w:val="center"/>
          </w:tcPr>
          <w:p>
            <w:pPr>
              <w:widowControl/>
              <w:spacing w:line="360" w:lineRule="exact"/>
              <w:jc w:val="center"/>
              <w:rPr>
                <w:rFonts w:ascii="宋体" w:cs="Segoe UI"/>
                <w:bCs/>
                <w:caps/>
                <w:smallCaps w:val="0"/>
                <w:color w:val="212529"/>
                <w:kern w:val="0"/>
                <w:szCs w:val="21"/>
                <w:u w:val="none"/>
              </w:rPr>
            </w:pPr>
            <w:r>
              <w:rPr>
                <w:rFonts w:ascii="宋体" w:cs="Segoe UI" w:hint="eastAsia"/>
                <w:b/>
                <w:color w:val="000000"/>
                <w:kern w:val="0"/>
                <w:szCs w:val="21"/>
                <w:u w:val="none"/>
              </w:rPr>
              <w:t>交易机构</w:t>
            </w:r>
          </w:p>
        </w:tc>
        <w:tc>
          <w:tcPr>
            <w:tcW w:w="6571" w:type="dxa"/>
            <w:gridSpan w:val="5"/>
            <w:vAlign w:val="center"/>
          </w:tcPr>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重庆市江津区华信资产经营（集团）有限公司（资产运营部）</w:t>
            </w:r>
          </w:p>
        </w:tc>
      </w:tr>
      <w:tr>
        <w:tc>
          <w:tcPr>
            <w:tcW w:w="1951" w:type="dxa"/>
            <w:gridSpan w:val="2"/>
            <w:vMerge w:val="restart"/>
            <w:vAlign w:val="center"/>
          </w:tcPr>
          <w:p>
            <w:pPr>
              <w:widowControl/>
              <w:spacing w:line="360" w:lineRule="exact"/>
              <w:jc w:val="center"/>
              <w:rPr>
                <w:rFonts w:ascii="宋体" w:cs="Segoe UI"/>
                <w:b/>
                <w:color w:val="000000"/>
                <w:kern w:val="0"/>
                <w:szCs w:val="21"/>
                <w:u w:val="none"/>
              </w:rPr>
            </w:pPr>
            <w:r>
              <w:rPr>
                <w:rFonts w:ascii="宋体" w:cs="Segoe UI" w:hint="eastAsia"/>
                <w:b/>
                <w:color w:val="000000"/>
                <w:kern w:val="0"/>
                <w:szCs w:val="21"/>
                <w:u w:val="none"/>
              </w:rPr>
              <w:t>华信公司账户</w:t>
            </w:r>
          </w:p>
        </w:tc>
        <w:tc>
          <w:tcPr>
            <w:tcW w:w="1642" w:type="dxa"/>
            <w:gridSpan w:val="2"/>
            <w:vAlign w:val="center"/>
          </w:tcPr>
          <w:p>
            <w:pPr>
              <w:widowControl/>
              <w:spacing w:line="360" w:lineRule="exact"/>
              <w:jc w:val="center"/>
              <w:rPr>
                <w:rFonts w:ascii="宋体" w:cs="Segoe UI"/>
                <w:bCs/>
                <w:caps/>
                <w:smallCaps w:val="0"/>
                <w:color w:val="212529"/>
                <w:kern w:val="0"/>
                <w:szCs w:val="21"/>
                <w:u w:val="none"/>
              </w:rPr>
            </w:pPr>
            <w:r>
              <w:rPr>
                <w:rFonts w:ascii="宋体" w:cs="Segoe UI" w:hint="eastAsia"/>
                <w:color w:val="000000"/>
                <w:kern w:val="0"/>
                <w:szCs w:val="21"/>
                <w:u w:val="none"/>
              </w:rPr>
              <w:t>户名</w:t>
            </w:r>
          </w:p>
        </w:tc>
        <w:tc>
          <w:tcPr>
            <w:tcW w:w="4929" w:type="dxa"/>
            <w:gridSpan w:val="3"/>
            <w:vAlign w:val="center"/>
          </w:tcPr>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重庆市江津区华信资产经营（集团）有限公司 （务必在备注栏注明：</w:t>
            </w:r>
            <w:r>
              <w:rPr>
                <w:rFonts w:ascii="宋体" w:cs="Segoe UI" w:hint="eastAsia"/>
                <w:b/>
                <w:caps/>
                <w:smallCaps w:val="0"/>
                <w:color w:val="000000"/>
                <w:kern w:val="0"/>
                <w:szCs w:val="21"/>
                <w:u w:val="none"/>
              </w:rPr>
              <w:t>黄庄现代粮油科技示范园整体运营。</w:t>
            </w:r>
          </w:p>
        </w:tc>
      </w:tr>
      <w:tr>
        <w:tc>
          <w:tcPr>
            <w:tcW w:w="1951" w:type="dxa"/>
            <w:gridSpan w:val="2"/>
            <w:vMerge/>
            <w:vAlign w:val="center"/>
          </w:tcPr>
          <w:p/>
        </w:tc>
        <w:tc>
          <w:tcPr>
            <w:tcW w:w="1642" w:type="dxa"/>
            <w:gridSpan w:val="2"/>
            <w:vAlign w:val="center"/>
          </w:tcPr>
          <w:p>
            <w:pPr>
              <w:widowControl/>
              <w:spacing w:line="360" w:lineRule="exact"/>
              <w:jc w:val="center"/>
              <w:rPr>
                <w:rFonts w:ascii="宋体" w:cs="Segoe UI"/>
                <w:bCs/>
                <w:caps/>
                <w:smallCaps w:val="0"/>
                <w:color w:val="212529"/>
                <w:kern w:val="0"/>
                <w:szCs w:val="21"/>
                <w:u w:val="none"/>
              </w:rPr>
            </w:pPr>
            <w:r>
              <w:rPr>
                <w:rFonts w:ascii="宋体" w:cs="Segoe UI" w:hint="eastAsia"/>
                <w:color w:val="000000"/>
                <w:kern w:val="0"/>
                <w:szCs w:val="21"/>
                <w:u w:val="none"/>
              </w:rPr>
              <w:t>开户行</w:t>
            </w:r>
          </w:p>
        </w:tc>
        <w:tc>
          <w:tcPr>
            <w:tcW w:w="4929" w:type="dxa"/>
            <w:gridSpan w:val="3"/>
            <w:vAlign w:val="center"/>
          </w:tcPr>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重庆银行江津支行    账号：560101040001396</w:t>
            </w:r>
          </w:p>
        </w:tc>
      </w:tr>
      <w:tr>
        <w:tc>
          <w:tcPr>
            <w:tcW w:w="1951" w:type="dxa"/>
            <w:gridSpan w:val="2"/>
            <w:vAlign w:val="center"/>
          </w:tcPr>
          <w:p>
            <w:pPr>
              <w:widowControl/>
              <w:spacing w:line="360" w:lineRule="exact"/>
              <w:jc w:val="center"/>
              <w:rPr>
                <w:rFonts w:ascii="宋体" w:cs="Segoe UI"/>
                <w:bCs/>
                <w:caps/>
                <w:smallCaps w:val="0"/>
                <w:color w:val="212529"/>
                <w:kern w:val="0"/>
                <w:szCs w:val="21"/>
                <w:u w:val="none"/>
              </w:rPr>
            </w:pPr>
            <w:r>
              <w:rPr>
                <w:rFonts w:ascii="宋体" w:cs="Segoe UI" w:hint="eastAsia"/>
                <w:b/>
                <w:color w:val="000000"/>
                <w:kern w:val="0"/>
                <w:szCs w:val="21"/>
                <w:u w:val="none"/>
              </w:rPr>
              <w:t>地 址</w:t>
            </w:r>
          </w:p>
        </w:tc>
        <w:tc>
          <w:tcPr>
            <w:tcW w:w="1642" w:type="dxa"/>
            <w:gridSpan w:val="2"/>
            <w:vAlign w:val="center"/>
          </w:tcPr>
          <w:p>
            <w:pPr>
              <w:widowControl/>
              <w:spacing w:line="360" w:lineRule="exact"/>
              <w:jc w:val="center"/>
              <w:rPr>
                <w:rFonts w:ascii="宋体" w:cs="Segoe UI"/>
                <w:bCs/>
                <w:caps/>
                <w:smallCaps w:val="0"/>
                <w:color w:val="212529"/>
                <w:kern w:val="0"/>
                <w:szCs w:val="21"/>
                <w:u w:val="none"/>
              </w:rPr>
            </w:pPr>
            <w:r>
              <w:rPr>
                <w:rFonts w:ascii="宋体" w:cs="Segoe UI" w:hint="eastAsia"/>
                <w:color w:val="000000"/>
                <w:kern w:val="0"/>
                <w:szCs w:val="21"/>
                <w:u w:val="none"/>
              </w:rPr>
              <w:t>华信公司资产运营部</w:t>
            </w:r>
          </w:p>
        </w:tc>
        <w:tc>
          <w:tcPr>
            <w:tcW w:w="4929" w:type="dxa"/>
            <w:gridSpan w:val="3"/>
            <w:vAlign w:val="center"/>
          </w:tcPr>
          <w:p>
            <w:pPr>
              <w:widowControl/>
              <w:spacing w:line="360" w:lineRule="exact"/>
              <w:jc w:val="left"/>
              <w:rPr>
                <w:rFonts w:ascii="宋体" w:cs="Segoe UI"/>
                <w:bCs/>
                <w:caps/>
                <w:smallCaps w:val="0"/>
                <w:color w:val="212529"/>
                <w:kern w:val="0"/>
                <w:szCs w:val="21"/>
                <w:u w:val="none"/>
              </w:rPr>
            </w:pPr>
            <w:r>
              <w:rPr>
                <w:rFonts w:ascii="宋体" w:cs="Segoe UI" w:hint="eastAsia"/>
                <w:color w:val="000000"/>
                <w:kern w:val="0"/>
                <w:szCs w:val="21"/>
                <w:u w:val="none"/>
              </w:rPr>
              <w:t>重庆市江津区天香街125号三楼</w:t>
            </w:r>
          </w:p>
        </w:tc>
      </w:tr>
      <w:tr>
        <w:tc>
          <w:tcPr>
            <w:tcW w:w="1951" w:type="dxa"/>
            <w:gridSpan w:val="2"/>
            <w:vMerge w:val="restart"/>
            <w:vAlign w:val="center"/>
          </w:tcPr>
          <w:p>
            <w:pPr>
              <w:spacing w:line="360" w:lineRule="exact"/>
              <w:jc w:val="center"/>
              <w:rPr>
                <w:rFonts w:ascii="宋体"/>
                <w:szCs w:val="21"/>
                <w:u w:val="none"/>
              </w:rPr>
            </w:pPr>
            <w:r>
              <w:rPr>
                <w:rFonts w:ascii="宋体" w:cs="Segoe UI" w:hint="eastAsia"/>
                <w:b/>
                <w:color w:val="000000"/>
                <w:kern w:val="0"/>
                <w:szCs w:val="21"/>
                <w:u w:val="none"/>
              </w:rPr>
              <w:t>联 系 人</w:t>
            </w:r>
          </w:p>
        </w:tc>
        <w:tc>
          <w:tcPr>
            <w:tcW w:w="3161" w:type="dxa"/>
            <w:gridSpan w:val="3"/>
            <w:vAlign w:val="center"/>
          </w:tcPr>
          <w:p>
            <w:pPr>
              <w:spacing w:line="360" w:lineRule="exact"/>
              <w:rPr>
                <w:rFonts w:ascii="宋体" w:cs="Segoe UI"/>
                <w:color w:val="auto"/>
                <w:szCs w:val="21"/>
                <w:u w:val="none"/>
              </w:rPr>
            </w:pPr>
            <w:r>
              <w:rPr>
                <w:rFonts w:ascii="宋体" w:cs="Segoe UI" w:hint="eastAsia"/>
                <w:color w:val="auto"/>
                <w:szCs w:val="21"/>
                <w:u w:val="none"/>
              </w:rPr>
              <w:t xml:space="preserve">资产运营部：吴斌 </w:t>
            </w:r>
          </w:p>
        </w:tc>
        <w:tc>
          <w:tcPr>
            <w:tcW w:w="1705" w:type="dxa"/>
          </w:tcPr>
          <w:p>
            <w:pPr>
              <w:spacing w:line="360" w:lineRule="exact"/>
              <w:jc w:val="center"/>
              <w:rPr>
                <w:rFonts w:ascii="宋体"/>
                <w:color w:val="auto"/>
                <w:szCs w:val="21"/>
                <w:u w:val="none"/>
              </w:rPr>
            </w:pPr>
            <w:r>
              <w:rPr>
                <w:rFonts w:ascii="宋体" w:hint="eastAsia"/>
                <w:color w:val="auto"/>
                <w:szCs w:val="21"/>
                <w:u w:val="none"/>
              </w:rPr>
              <w:t>电话</w:t>
            </w:r>
          </w:p>
        </w:tc>
        <w:tc>
          <w:tcPr>
            <w:tcW w:w="1705" w:type="dxa"/>
          </w:tcPr>
          <w:p>
            <w:pPr>
              <w:spacing w:line="360" w:lineRule="exact"/>
              <w:rPr>
                <w:rFonts w:ascii="宋体"/>
                <w:color w:val="auto"/>
                <w:szCs w:val="21"/>
                <w:u w:val="none"/>
              </w:rPr>
            </w:pPr>
            <w:r>
              <w:rPr>
                <w:rFonts w:ascii="宋体" w:hint="eastAsia"/>
                <w:color w:val="auto"/>
                <w:szCs w:val="21"/>
                <w:u w:val="none"/>
                <w:shd w:val="clear" w:color="auto" w:fill="FFFFFF"/>
              </w:rPr>
              <w:t>023-47559577</w:t>
            </w:r>
          </w:p>
        </w:tc>
      </w:tr>
      <w:tr>
        <w:tc>
          <w:tcPr>
            <w:tcW w:w="1951" w:type="dxa"/>
            <w:gridSpan w:val="2"/>
            <w:vMerge/>
          </w:tcPr>
          <w:p/>
        </w:tc>
        <w:tc>
          <w:tcPr>
            <w:tcW w:w="3161" w:type="dxa"/>
            <w:gridSpan w:val="3"/>
            <w:vAlign w:val="center"/>
          </w:tcPr>
          <w:p>
            <w:pPr>
              <w:spacing w:line="360" w:lineRule="exact"/>
              <w:rPr>
                <w:rFonts w:ascii="宋体" w:cs="Segoe UI"/>
                <w:color w:val="auto"/>
                <w:szCs w:val="21"/>
                <w:u w:val="none"/>
              </w:rPr>
            </w:pPr>
            <w:r>
              <w:rPr>
                <w:rFonts w:ascii="宋体" w:cs="Segoe UI" w:hint="eastAsia"/>
                <w:color w:val="auto"/>
                <w:szCs w:val="21"/>
                <w:u w:val="none"/>
              </w:rPr>
              <w:t>资产运营部：严君剑</w:t>
            </w:r>
          </w:p>
        </w:tc>
        <w:tc>
          <w:tcPr>
            <w:tcW w:w="1705" w:type="dxa"/>
          </w:tcPr>
          <w:p>
            <w:pPr>
              <w:spacing w:line="360" w:lineRule="exact"/>
              <w:jc w:val="center"/>
              <w:rPr>
                <w:rFonts w:ascii="宋体"/>
                <w:color w:val="auto"/>
                <w:szCs w:val="21"/>
                <w:u w:val="none"/>
              </w:rPr>
            </w:pPr>
            <w:r>
              <w:rPr>
                <w:rFonts w:ascii="宋体" w:hint="eastAsia"/>
                <w:color w:val="auto"/>
                <w:szCs w:val="21"/>
                <w:u w:val="none"/>
              </w:rPr>
              <w:t>电话</w:t>
            </w:r>
          </w:p>
        </w:tc>
        <w:tc>
          <w:tcPr>
            <w:tcW w:w="1705" w:type="dxa"/>
          </w:tcPr>
          <w:p>
            <w:pPr>
              <w:spacing w:line="360" w:lineRule="exact"/>
              <w:rPr>
                <w:rFonts w:ascii="宋体"/>
                <w:color w:val="auto"/>
                <w:szCs w:val="21"/>
                <w:u w:val="none"/>
                <w:shd w:val="clear" w:color="auto" w:fill="FFFFFF"/>
              </w:rPr>
            </w:pPr>
            <w:r>
              <w:rPr>
                <w:rFonts w:ascii="宋体" w:hint="eastAsia"/>
                <w:color w:val="auto"/>
                <w:szCs w:val="21"/>
                <w:u w:val="none"/>
                <w:shd w:val="clear" w:color="auto" w:fill="FFFFFF"/>
              </w:rPr>
              <w:t>0234-7292628</w:t>
            </w:r>
          </w:p>
        </w:tc>
      </w:tr>
      <w:tr>
        <w:tc>
          <w:tcPr>
            <w:tcW w:w="8522" w:type="dxa"/>
            <w:gridSpan w:val="7"/>
            <w:vAlign w:val="center"/>
          </w:tcPr>
          <w:p>
            <w:pPr>
              <w:widowControl/>
              <w:spacing w:line="360" w:lineRule="exact"/>
              <w:jc w:val="right"/>
              <w:rPr>
                <w:rFonts w:ascii="宋体" w:cs="Segoe UI"/>
                <w:bCs/>
                <w:caps/>
                <w:smallCaps w:val="0"/>
                <w:color w:val="212529"/>
                <w:kern w:val="0"/>
                <w:szCs w:val="21"/>
                <w:u w:val="none"/>
              </w:rPr>
            </w:pPr>
            <w:r>
              <w:rPr>
                <w:rFonts w:ascii="宋体" w:cs="Segoe UI" w:hint="eastAsia"/>
                <w:color w:val="auto"/>
                <w:kern w:val="0"/>
                <w:szCs w:val="21"/>
                <w:u w:val="none"/>
              </w:rPr>
              <w:t>运营招租主</w:t>
            </w:r>
            <w:r>
              <w:rPr>
                <w:rFonts w:ascii="宋体" w:cs="Segoe UI" w:hint="eastAsia"/>
                <w:color w:val="000000"/>
                <w:kern w:val="0"/>
                <w:szCs w:val="21"/>
                <w:u w:val="none"/>
              </w:rPr>
              <w:t>体：重庆市江津区华信资产经营（集团）有限公司</w:t>
            </w:r>
          </w:p>
        </w:tc>
      </w:tr>
      <w:tr>
        <w:tc>
          <w:tcPr>
            <w:tcW w:w="8522" w:type="dxa"/>
            <w:gridSpan w:val="7"/>
            <w:vAlign w:val="center"/>
          </w:tcPr>
          <w:p>
            <w:pPr>
              <w:widowControl/>
              <w:spacing w:line="360" w:lineRule="exact"/>
              <w:jc w:val="right"/>
              <w:rPr>
                <w:rFonts w:ascii="宋体" w:cs="Segoe UI"/>
                <w:bCs/>
                <w:caps/>
                <w:smallCaps w:val="0"/>
                <w:color w:val="212529"/>
                <w:kern w:val="0"/>
                <w:szCs w:val="21"/>
                <w:u w:val="none"/>
              </w:rPr>
            </w:pPr>
            <w:r>
              <w:rPr>
                <w:rFonts w:ascii="宋体" w:cs="Segoe UI" w:hint="eastAsia"/>
                <w:color w:val="000000"/>
                <w:kern w:val="0"/>
                <w:szCs w:val="21"/>
                <w:u w:val="none"/>
              </w:rPr>
              <w:t>二○二一年</w:t>
            </w:r>
            <w:r>
              <w:rPr>
                <w:rFonts w:ascii="宋体" w:cs="Segoe UI"/>
                <w:color w:val="000000"/>
                <w:kern w:val="0"/>
                <w:szCs w:val="21"/>
                <w:u w:val="none"/>
              </w:rPr>
              <w:t>四</w:t>
            </w:r>
            <w:r>
              <w:rPr>
                <w:rFonts w:ascii="宋体" w:cs="Segoe UI" w:hint="eastAsia"/>
                <w:color w:val="000000"/>
                <w:kern w:val="0"/>
                <w:szCs w:val="21"/>
                <w:u w:val="none"/>
              </w:rPr>
              <w:t>月</w:t>
            </w:r>
            <w:r>
              <w:rPr>
                <w:rFonts w:ascii="宋体" w:cs="Segoe UI"/>
                <w:color w:val="000000"/>
                <w:kern w:val="0"/>
                <w:szCs w:val="21"/>
                <w:u w:val="none"/>
              </w:rPr>
              <w:t>六</w:t>
            </w:r>
            <w:r>
              <w:rPr>
                <w:rFonts w:ascii="宋体" w:cs="Segoe UI" w:hint="eastAsia"/>
                <w:color w:val="000000"/>
                <w:kern w:val="0"/>
                <w:szCs w:val="21"/>
                <w:u w:val="none"/>
              </w:rPr>
              <w:t>日</w:t>
            </w:r>
          </w:p>
        </w:tc>
      </w:tr>
    </w:tbl>
    <w:p>
      <w:pPr>
        <w:tabs>
          <w:tab w:val="left" w:pos="0"/>
          <w:tab w:val="left" w:pos="180"/>
        </w:tabs>
        <w:spacing w:line="360" w:lineRule="auto"/>
        <w:jc w:val="center"/>
        <w:rPr>
          <w:rFonts w:ascii="宋体" w:cs="宋体"/>
          <w:color w:val="auto"/>
          <w:sz w:val="36"/>
          <w:szCs w:val="36"/>
          <w:u w:val="none"/>
        </w:rPr>
      </w:pPr>
      <w:r>
        <w:rPr>
          <w:rFonts w:ascii="宋体" w:cs="宋体" w:hint="eastAsia"/>
          <w:color w:val="auto"/>
          <w:sz w:val="36"/>
          <w:szCs w:val="36"/>
          <w:u w:val="none"/>
        </w:rPr>
        <w:t>第   次书面报价单</w:t>
      </w:r>
    </w:p>
    <w:p>
      <w:pPr>
        <w:tabs>
          <w:tab w:val="left" w:pos="0"/>
          <w:tab w:val="left" w:pos="180"/>
        </w:tabs>
        <w:jc w:val="center"/>
        <w:rPr>
          <w:rFonts w:ascii="宋体" w:cs="宋体"/>
          <w:szCs w:val="21"/>
          <w:u w:val="none"/>
        </w:rPr>
      </w:pPr>
    </w:p>
    <w:tbl>
      <w:tblPr>
        <w:jc w:val="cente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21"/>
        <w:gridCol w:w="7507"/>
      </w:tblGrid>
      <w:tr>
        <w:trPr>
          <w:cantSplit/>
          <w:trHeight w:val="656"/>
        </w:trPr>
        <w:tc>
          <w:tcPr>
            <w:tcW w:w="1721" w:type="dxa"/>
            <w:vAlign w:val="center"/>
          </w:tcPr>
          <w:p>
            <w:pPr>
              <w:tabs>
                <w:tab w:val="left" w:pos="0"/>
                <w:tab w:val="left" w:pos="180"/>
              </w:tabs>
              <w:jc w:val="center"/>
              <w:rPr>
                <w:rFonts w:ascii="宋体"/>
                <w:color w:val="auto"/>
                <w:kern w:val="0"/>
                <w:szCs w:val="24"/>
                <w:u w:val="none"/>
              </w:rPr>
            </w:pPr>
            <w:r>
              <w:rPr>
                <w:rFonts w:ascii="宋体" w:hint="eastAsia"/>
                <w:color w:val="auto"/>
                <w:kern w:val="0"/>
                <w:sz w:val="24"/>
                <w:szCs w:val="24"/>
                <w:u w:val="none"/>
              </w:rPr>
              <w:t>标的名称</w:t>
            </w:r>
          </w:p>
        </w:tc>
        <w:tc>
          <w:tcPr>
            <w:tcW w:w="7507" w:type="dxa"/>
            <w:vAlign w:val="center"/>
          </w:tcPr>
          <w:p>
            <w:pPr>
              <w:widowControl/>
              <w:spacing w:line="240" w:lineRule="auto"/>
              <w:jc w:val="center"/>
              <w:rPr>
                <w:rFonts w:ascii="宋体"/>
                <w:color w:val="3333FF"/>
                <w:kern w:val="0"/>
                <w:szCs w:val="24"/>
                <w:u w:val="none"/>
              </w:rPr>
            </w:pPr>
            <w:r>
              <w:rPr>
                <w:rFonts w:ascii="宋体" w:cs="Segoe UI" w:hint="eastAsia"/>
                <w:b/>
                <w:caps/>
                <w:smallCaps w:val="0"/>
                <w:color w:val="auto"/>
                <w:kern w:val="0"/>
                <w:sz w:val="24"/>
                <w:szCs w:val="24"/>
                <w:u w:val="none"/>
              </w:rPr>
              <w:t>黄庄现代粮油科技示范园的流转土地及土地上的建筑物、构筑物、设备设施等财产整体运营</w:t>
            </w:r>
          </w:p>
        </w:tc>
      </w:tr>
      <w:tr>
        <w:trPr>
          <w:cantSplit/>
          <w:trHeight w:val="897"/>
        </w:trPr>
        <w:tc>
          <w:tcPr>
            <w:tcW w:w="1721" w:type="dxa"/>
            <w:vMerge w:val="restart"/>
            <w:vAlign w:val="center"/>
          </w:tcPr>
          <w:p>
            <w:pPr>
              <w:tabs>
                <w:tab w:val="left" w:pos="0"/>
                <w:tab w:val="left" w:pos="180"/>
              </w:tabs>
              <w:jc w:val="center"/>
              <w:rPr>
                <w:rFonts w:ascii="宋体"/>
                <w:color w:val="auto"/>
                <w:kern w:val="0"/>
                <w:szCs w:val="24"/>
                <w:u w:val="none"/>
              </w:rPr>
            </w:pPr>
            <w:r>
              <w:rPr>
                <w:rFonts w:ascii="宋体" w:hint="eastAsia"/>
                <w:color w:val="auto"/>
                <w:kern w:val="0"/>
                <w:sz w:val="24"/>
                <w:szCs w:val="24"/>
                <w:u w:val="none"/>
              </w:rPr>
              <w:t>竞标报价</w:t>
            </w:r>
          </w:p>
          <w:p>
            <w:pPr>
              <w:tabs>
                <w:tab w:val="left" w:pos="0"/>
                <w:tab w:val="left" w:pos="180"/>
              </w:tabs>
              <w:jc w:val="center"/>
              <w:rPr>
                <w:rFonts w:ascii="宋体"/>
                <w:color w:val="auto"/>
                <w:kern w:val="0"/>
                <w:szCs w:val="24"/>
                <w:u w:val="none"/>
              </w:rPr>
            </w:pPr>
            <w:r>
              <w:rPr>
                <w:rFonts w:ascii="宋体" w:hint="eastAsia"/>
                <w:color w:val="auto"/>
                <w:kern w:val="0"/>
                <w:sz w:val="24"/>
                <w:szCs w:val="24"/>
                <w:u w:val="none"/>
              </w:rPr>
              <w:t>（元/年）</w:t>
            </w:r>
          </w:p>
        </w:tc>
        <w:tc>
          <w:tcPr>
            <w:tcW w:w="7507" w:type="dxa"/>
            <w:vAlign w:val="center"/>
          </w:tcPr>
          <w:p>
            <w:pPr>
              <w:tabs>
                <w:tab w:val="left" w:pos="0"/>
                <w:tab w:val="left" w:pos="180"/>
              </w:tabs>
              <w:rPr>
                <w:rFonts w:ascii="宋体"/>
                <w:bCs/>
                <w:color w:val="auto"/>
                <w:kern w:val="0"/>
                <w:szCs w:val="24"/>
                <w:u w:val="none"/>
              </w:rPr>
            </w:pPr>
            <w:r>
              <w:rPr>
                <w:rFonts w:ascii="宋体" w:hint="eastAsia"/>
                <w:bCs/>
                <w:color w:val="auto"/>
                <w:kern w:val="0"/>
                <w:sz w:val="24"/>
                <w:szCs w:val="24"/>
                <w:u w:val="none"/>
              </w:rPr>
              <w:t>小写：￥         元</w:t>
            </w:r>
          </w:p>
        </w:tc>
      </w:tr>
      <w:tr>
        <w:trPr>
          <w:cantSplit/>
          <w:trHeight w:val="656"/>
        </w:trPr>
        <w:tc>
          <w:tcPr>
            <w:tcW w:w="1721" w:type="dxa"/>
            <w:vMerge/>
          </w:tcPr>
          <w:p/>
        </w:tc>
        <w:tc>
          <w:tcPr>
            <w:tcW w:w="7507" w:type="dxa"/>
            <w:vAlign w:val="center"/>
          </w:tcPr>
          <w:p>
            <w:pPr>
              <w:tabs>
                <w:tab w:val="left" w:pos="0"/>
                <w:tab w:val="left" w:pos="180"/>
              </w:tabs>
              <w:rPr>
                <w:rFonts w:ascii="宋体"/>
                <w:bCs/>
                <w:color w:val="auto"/>
                <w:kern w:val="0"/>
                <w:szCs w:val="24"/>
                <w:u w:val="none"/>
              </w:rPr>
            </w:pPr>
            <w:r>
              <w:rPr>
                <w:rFonts w:ascii="宋体" w:hint="eastAsia"/>
                <w:bCs/>
                <w:color w:val="auto"/>
                <w:kern w:val="0"/>
                <w:sz w:val="24"/>
                <w:szCs w:val="24"/>
                <w:u w:val="none"/>
              </w:rPr>
              <w:t>大写：                元整</w:t>
            </w:r>
          </w:p>
        </w:tc>
      </w:tr>
      <w:tr>
        <w:trPr>
          <w:cantSplit/>
          <w:trHeight w:val="5832"/>
        </w:trPr>
        <w:tc>
          <w:tcPr>
            <w:tcW w:w="1721" w:type="dxa"/>
            <w:vAlign w:val="center"/>
          </w:tcPr>
          <w:p>
            <w:pPr>
              <w:tabs>
                <w:tab w:val="left" w:pos="0"/>
                <w:tab w:val="left" w:pos="180"/>
              </w:tabs>
              <w:jc w:val="center"/>
              <w:rPr>
                <w:rFonts w:ascii="宋体"/>
                <w:b/>
                <w:bCs/>
                <w:color w:val="auto"/>
                <w:szCs w:val="24"/>
                <w:u w:val="none"/>
              </w:rPr>
            </w:pPr>
            <w:r>
              <w:rPr>
                <w:rFonts w:ascii="宋体" w:hint="eastAsia"/>
                <w:b/>
                <w:bCs/>
                <w:color w:val="auto"/>
                <w:sz w:val="24"/>
                <w:szCs w:val="24"/>
                <w:u w:val="none"/>
              </w:rPr>
              <w:t>注</w:t>
            </w:r>
          </w:p>
          <w:p>
            <w:pPr>
              <w:tabs>
                <w:tab w:val="left" w:pos="0"/>
                <w:tab w:val="left" w:pos="180"/>
              </w:tabs>
              <w:jc w:val="center"/>
              <w:rPr>
                <w:rFonts w:ascii="宋体"/>
                <w:b/>
                <w:bCs/>
                <w:color w:val="auto"/>
                <w:szCs w:val="24"/>
                <w:u w:val="none"/>
              </w:rPr>
            </w:pPr>
            <w:r>
              <w:rPr>
                <w:rFonts w:ascii="宋体" w:hint="eastAsia"/>
                <w:b/>
                <w:bCs/>
                <w:color w:val="auto"/>
                <w:sz w:val="24"/>
                <w:szCs w:val="24"/>
                <w:u w:val="none"/>
              </w:rPr>
              <w:t>意</w:t>
            </w:r>
          </w:p>
          <w:p>
            <w:pPr>
              <w:tabs>
                <w:tab w:val="left" w:pos="0"/>
                <w:tab w:val="left" w:pos="180"/>
              </w:tabs>
              <w:jc w:val="center"/>
              <w:rPr>
                <w:rFonts w:ascii="宋体"/>
                <w:b/>
                <w:bCs/>
                <w:color w:val="auto"/>
                <w:szCs w:val="24"/>
                <w:u w:val="none"/>
              </w:rPr>
            </w:pPr>
            <w:r>
              <w:rPr>
                <w:rFonts w:ascii="宋体" w:hint="eastAsia"/>
                <w:b/>
                <w:bCs/>
                <w:color w:val="auto"/>
                <w:sz w:val="24"/>
                <w:szCs w:val="24"/>
                <w:u w:val="none"/>
              </w:rPr>
              <w:t>事</w:t>
            </w:r>
          </w:p>
          <w:p>
            <w:pPr>
              <w:tabs>
                <w:tab w:val="left" w:pos="0"/>
                <w:tab w:val="left" w:pos="180"/>
              </w:tabs>
              <w:jc w:val="center"/>
              <w:rPr>
                <w:rFonts w:ascii="宋体"/>
                <w:b/>
                <w:bCs/>
                <w:color w:val="auto"/>
                <w:szCs w:val="24"/>
                <w:u w:val="none"/>
              </w:rPr>
            </w:pPr>
            <w:r>
              <w:rPr>
                <w:rFonts w:ascii="宋体" w:hint="eastAsia"/>
                <w:b/>
                <w:bCs/>
                <w:color w:val="auto"/>
                <w:sz w:val="24"/>
                <w:szCs w:val="24"/>
                <w:u w:val="none"/>
              </w:rPr>
              <w:t>项</w:t>
            </w:r>
          </w:p>
        </w:tc>
        <w:tc>
          <w:tcPr>
            <w:tcW w:w="7507" w:type="dxa"/>
          </w:tcPr>
          <w:p>
            <w:pPr>
              <w:tabs>
                <w:tab w:val="left" w:pos="0"/>
                <w:tab w:val="left" w:pos="180"/>
              </w:tabs>
              <w:spacing w:line="360" w:lineRule="auto"/>
              <w:rPr>
                <w:rFonts w:ascii="宋体"/>
                <w:color w:val="auto"/>
                <w:kern w:val="0"/>
                <w:szCs w:val="24"/>
                <w:u w:val="none"/>
              </w:rPr>
            </w:pPr>
            <w:r>
              <w:rPr>
                <w:rFonts w:ascii="宋体" w:hint="eastAsia"/>
                <w:color w:val="auto"/>
                <w:kern w:val="0"/>
                <w:sz w:val="24"/>
                <w:szCs w:val="24"/>
                <w:u w:val="none"/>
              </w:rPr>
              <w:t>一、竞价者报价不符合以下任何一项规定的，为无效报价，并视为竞标人自动放弃竞标资格。</w:t>
            </w:r>
          </w:p>
          <w:p>
            <w:pPr>
              <w:tabs>
                <w:tab w:val="left" w:pos="0"/>
                <w:tab w:val="left" w:pos="180"/>
              </w:tabs>
              <w:spacing w:line="360" w:lineRule="auto"/>
              <w:ind w:firstLineChars="200" w:firstLine="480"/>
              <w:jc w:val="left"/>
              <w:rPr>
                <w:rFonts w:ascii="宋体"/>
                <w:color w:val="auto"/>
                <w:kern w:val="0"/>
                <w:szCs w:val="24"/>
                <w:u w:val="none"/>
              </w:rPr>
            </w:pPr>
            <w:r>
              <w:rPr>
                <w:rFonts w:ascii="宋体" w:hint="eastAsia"/>
                <w:color w:val="auto"/>
                <w:kern w:val="0"/>
                <w:sz w:val="24"/>
                <w:szCs w:val="24"/>
                <w:u w:val="none"/>
              </w:rPr>
              <w:t>1.此报价单须打印或用蓝、黑色的钢笔、签字笔或碳素笔填写清楚，字迹容易辨认。</w:t>
            </w:r>
          </w:p>
          <w:p>
            <w:pPr>
              <w:tabs>
                <w:tab w:val="left" w:pos="0"/>
                <w:tab w:val="left" w:pos="180"/>
              </w:tabs>
              <w:spacing w:line="360" w:lineRule="auto"/>
              <w:ind w:firstLineChars="200" w:firstLine="480"/>
              <w:jc w:val="left"/>
              <w:rPr>
                <w:rFonts w:ascii="宋体"/>
                <w:color w:val="auto"/>
                <w:kern w:val="0"/>
                <w:szCs w:val="24"/>
                <w:u w:val="none"/>
              </w:rPr>
            </w:pPr>
            <w:r>
              <w:rPr>
                <w:rFonts w:ascii="宋体" w:hint="eastAsia"/>
                <w:b/>
                <w:bCs/>
                <w:color w:val="auto"/>
                <w:kern w:val="0"/>
                <w:sz w:val="24"/>
                <w:szCs w:val="24"/>
                <w:u w:val="none"/>
              </w:rPr>
              <w:t>2.报价不能低于（可以等于或高于）招租底价。报价高于招租</w:t>
            </w:r>
            <w:r>
              <w:rPr>
                <w:rFonts w:ascii="宋体"/>
                <w:b/>
                <w:bCs/>
                <w:color w:val="auto"/>
                <w:kern w:val="0"/>
                <w:sz w:val="24"/>
                <w:szCs w:val="24"/>
                <w:u w:val="none"/>
              </w:rPr>
              <w:t>底</w:t>
            </w:r>
            <w:r>
              <w:rPr>
                <w:rFonts w:ascii="宋体" w:hint="eastAsia"/>
                <w:b/>
                <w:bCs/>
                <w:color w:val="auto"/>
                <w:kern w:val="0"/>
                <w:sz w:val="24"/>
                <w:szCs w:val="24"/>
                <w:u w:val="none"/>
              </w:rPr>
              <w:t>价的，高出部分应为增价幅度（5000.00元/年）的整数倍。</w:t>
            </w:r>
          </w:p>
          <w:p>
            <w:pPr>
              <w:tabs>
                <w:tab w:val="left" w:pos="0"/>
                <w:tab w:val="left" w:pos="180"/>
              </w:tabs>
              <w:spacing w:line="360" w:lineRule="auto"/>
              <w:ind w:firstLineChars="200" w:firstLine="480"/>
              <w:jc w:val="left"/>
              <w:rPr>
                <w:rFonts w:ascii="宋体"/>
                <w:color w:val="auto"/>
                <w:kern w:val="0"/>
                <w:szCs w:val="24"/>
                <w:u w:val="none"/>
              </w:rPr>
            </w:pPr>
            <w:r>
              <w:rPr>
                <w:rFonts w:ascii="宋体" w:hint="eastAsia"/>
                <w:b/>
                <w:bCs/>
                <w:color w:val="auto"/>
                <w:kern w:val="0"/>
                <w:sz w:val="24"/>
                <w:szCs w:val="24"/>
                <w:u w:val="none"/>
              </w:rPr>
              <w:t>3</w:t>
            </w:r>
            <w:r>
              <w:rPr>
                <w:rFonts w:ascii="宋体" w:hint="eastAsia"/>
                <w:color w:val="auto"/>
                <w:kern w:val="0"/>
                <w:sz w:val="24"/>
                <w:szCs w:val="24"/>
                <w:u w:val="none"/>
              </w:rPr>
              <w:t>.</w:t>
            </w:r>
            <w:r>
              <w:rPr>
                <w:rFonts w:ascii="宋体" w:hint="eastAsia"/>
                <w:b/>
                <w:bCs/>
                <w:color w:val="auto"/>
                <w:kern w:val="0"/>
                <w:sz w:val="24"/>
                <w:szCs w:val="24"/>
                <w:u w:val="none"/>
              </w:rPr>
              <w:t>报价应保留至元，不得填报×角×分</w:t>
            </w:r>
            <w:r>
              <w:rPr>
                <w:rFonts w:ascii="宋体" w:hint="eastAsia"/>
                <w:color w:val="auto"/>
                <w:kern w:val="0"/>
                <w:sz w:val="24"/>
                <w:szCs w:val="24"/>
                <w:u w:val="none"/>
              </w:rPr>
              <w:t>。</w:t>
            </w:r>
          </w:p>
          <w:p>
            <w:pPr>
              <w:tabs>
                <w:tab w:val="left" w:pos="0"/>
                <w:tab w:val="left" w:pos="180"/>
              </w:tabs>
              <w:spacing w:line="360" w:lineRule="auto"/>
              <w:ind w:firstLineChars="150" w:firstLine="360"/>
              <w:rPr>
                <w:rFonts w:ascii="宋体"/>
                <w:color w:val="auto"/>
                <w:kern w:val="0"/>
                <w:szCs w:val="24"/>
                <w:u w:val="none"/>
              </w:rPr>
            </w:pPr>
            <w:r>
              <w:rPr>
                <w:rFonts w:ascii="宋体" w:hint="eastAsia"/>
                <w:color w:val="auto"/>
                <w:kern w:val="0"/>
                <w:sz w:val="24"/>
                <w:szCs w:val="24"/>
                <w:u w:val="none"/>
              </w:rPr>
              <w:t>4.竞标人只能报一个价格。</w:t>
            </w:r>
          </w:p>
          <w:p>
            <w:pPr>
              <w:tabs>
                <w:tab w:val="left" w:pos="0"/>
                <w:tab w:val="left" w:pos="180"/>
              </w:tabs>
              <w:spacing w:line="360" w:lineRule="auto"/>
              <w:rPr>
                <w:rFonts w:ascii="宋体"/>
                <w:color w:val="auto"/>
                <w:kern w:val="0"/>
                <w:szCs w:val="24"/>
                <w:u w:val="none"/>
              </w:rPr>
            </w:pPr>
            <w:r>
              <w:rPr>
                <w:rFonts w:ascii="宋体" w:hint="eastAsia"/>
                <w:color w:val="auto"/>
                <w:kern w:val="0"/>
                <w:sz w:val="24"/>
                <w:szCs w:val="24"/>
                <w:u w:val="none"/>
              </w:rPr>
              <w:t>二、竞标者报价大小写不一致，以大写金额为准。</w:t>
            </w:r>
          </w:p>
        </w:tc>
      </w:tr>
    </w:tbl>
    <w:p>
      <w:pPr>
        <w:tabs>
          <w:tab w:val="left" w:pos="0"/>
          <w:tab w:val="left" w:pos="180"/>
        </w:tabs>
        <w:spacing w:line="420" w:lineRule="exact"/>
        <w:rPr>
          <w:rFonts w:ascii="宋体"/>
          <w:color w:val="auto"/>
          <w:sz w:val="24"/>
          <w:szCs w:val="24"/>
          <w:u w:val="none"/>
        </w:rPr>
      </w:pPr>
      <w:r>
        <w:rPr>
          <w:rFonts w:ascii="宋体" w:hint="eastAsia"/>
          <w:color w:val="auto"/>
          <w:sz w:val="24"/>
          <w:szCs w:val="24"/>
          <w:u w:val="none"/>
        </w:rPr>
        <w:t>竞价者承诺：</w:t>
      </w:r>
    </w:p>
    <w:p>
      <w:pPr>
        <w:tabs>
          <w:tab w:val="left" w:pos="0"/>
          <w:tab w:val="left" w:pos="180"/>
        </w:tabs>
        <w:spacing w:line="420" w:lineRule="exact"/>
        <w:ind w:firstLineChars="200" w:firstLine="480"/>
        <w:rPr>
          <w:rFonts w:ascii="宋体"/>
          <w:color w:val="auto"/>
          <w:sz w:val="24"/>
          <w:szCs w:val="24"/>
          <w:u w:val="none"/>
        </w:rPr>
      </w:pPr>
      <w:r>
        <w:rPr>
          <w:rFonts w:ascii="宋体" w:hint="eastAsia"/>
          <w:color w:val="auto"/>
          <w:sz w:val="24"/>
          <w:szCs w:val="24"/>
          <w:u w:val="none"/>
        </w:rPr>
        <w:t>本竞标人已仔细阅读以上注意事项，知悉本次书面报价相关规则，愿意接受并遵守相关规定。</w:t>
      </w:r>
    </w:p>
    <w:p>
      <w:pPr>
        <w:tabs>
          <w:tab w:val="left" w:pos="0"/>
          <w:tab w:val="left" w:pos="180"/>
        </w:tabs>
        <w:ind w:firstLineChars="1500" w:firstLine="3600"/>
        <w:jc w:val="right"/>
        <w:rPr>
          <w:rFonts w:ascii="宋体" w:cs="宋体"/>
          <w:color w:val="auto"/>
          <w:sz w:val="24"/>
          <w:szCs w:val="24"/>
          <w:u w:val="none"/>
        </w:rPr>
      </w:pPr>
    </w:p>
    <w:p>
      <w:pPr>
        <w:tabs>
          <w:tab w:val="left" w:pos="0"/>
          <w:tab w:val="left" w:pos="180"/>
        </w:tabs>
        <w:ind w:firstLineChars="1500" w:firstLine="3600"/>
        <w:jc w:val="right"/>
        <w:rPr>
          <w:rFonts w:ascii="宋体" w:cs="宋体"/>
          <w:color w:val="auto"/>
          <w:sz w:val="24"/>
          <w:szCs w:val="24"/>
          <w:u w:val="none"/>
        </w:rPr>
      </w:pPr>
    </w:p>
    <w:p>
      <w:pPr>
        <w:tabs>
          <w:tab w:val="left" w:pos="0"/>
          <w:tab w:val="left" w:pos="180"/>
        </w:tabs>
        <w:spacing w:line="360" w:lineRule="auto"/>
        <w:ind w:firstLineChars="1500" w:firstLine="3600"/>
        <w:jc w:val="right"/>
        <w:rPr>
          <w:rFonts w:ascii="宋体" w:cs="宋体"/>
          <w:color w:val="auto"/>
          <w:sz w:val="24"/>
          <w:szCs w:val="24"/>
          <w:u w:val="none"/>
        </w:rPr>
      </w:pPr>
      <w:r>
        <w:rPr>
          <w:rFonts w:ascii="宋体" w:cs="宋体" w:hint="eastAsia"/>
          <w:color w:val="auto"/>
          <w:sz w:val="24"/>
          <w:szCs w:val="24"/>
          <w:u w:val="none"/>
        </w:rPr>
        <w:t>竞租人（盖章）：</w:t>
      </w:r>
    </w:p>
    <w:p>
      <w:pPr>
        <w:tabs>
          <w:tab w:val="left" w:pos="0"/>
          <w:tab w:val="left" w:pos="180"/>
        </w:tabs>
        <w:spacing w:line="360" w:lineRule="auto"/>
        <w:ind w:firstLineChars="1450" w:firstLine="3480"/>
        <w:jc w:val="right"/>
        <w:rPr>
          <w:rFonts w:ascii="宋体"/>
          <w:color w:val="auto"/>
          <w:sz w:val="24"/>
          <w:szCs w:val="24"/>
          <w:u w:val="none"/>
        </w:rPr>
      </w:pPr>
      <w:r>
        <w:rPr>
          <w:rFonts w:ascii="宋体" w:hint="eastAsia"/>
          <w:color w:val="auto"/>
          <w:sz w:val="24"/>
          <w:szCs w:val="24"/>
          <w:u w:val="none"/>
        </w:rPr>
        <w:t>法定代表人或委托代理人签字：</w:t>
      </w:r>
    </w:p>
    <w:p>
      <w:pPr>
        <w:tabs>
          <w:tab w:val="left" w:pos="0"/>
          <w:tab w:val="left" w:pos="180"/>
        </w:tabs>
        <w:spacing w:line="360" w:lineRule="auto"/>
        <w:ind w:firstLineChars="1450" w:firstLine="3480"/>
        <w:jc w:val="right"/>
        <w:rPr>
          <w:rFonts w:ascii="宋体"/>
          <w:color w:val="auto"/>
          <w:sz w:val="24"/>
          <w:szCs w:val="24"/>
          <w:u w:val="none"/>
        </w:rPr>
      </w:pPr>
      <w:r>
        <w:rPr>
          <w:rFonts w:ascii="宋体" w:hint="eastAsia"/>
          <w:color w:val="auto"/>
          <w:sz w:val="24"/>
          <w:szCs w:val="24"/>
          <w:u w:val="none"/>
        </w:rPr>
        <w:t>年    月    日</w:t>
      </w:r>
    </w:p>
    <w:p>
      <w:pPr>
        <w:tabs>
          <w:tab w:val="left" w:pos="0"/>
          <w:tab w:val="left" w:pos="180"/>
        </w:tabs>
        <w:spacing w:line="360" w:lineRule="auto"/>
        <w:ind w:firstLineChars="1450" w:firstLine="3480"/>
        <w:jc w:val="right"/>
        <w:rPr>
          <w:rFonts w:ascii="宋体"/>
          <w:color w:val="auto"/>
          <w:sz w:val="24"/>
          <w:szCs w:val="24"/>
          <w:u w:val="none"/>
        </w:rPr>
      </w:pPr>
    </w:p>
    <w:p>
      <w:pPr>
        <w:tabs>
          <w:tab w:val="left" w:pos="0"/>
          <w:tab w:val="left" w:pos="180"/>
        </w:tabs>
        <w:ind w:firstLineChars="1450" w:firstLine="3480"/>
        <w:jc w:val="right"/>
        <w:rPr>
          <w:rFonts w:ascii="宋体"/>
          <w:color w:val="auto"/>
          <w:sz w:val="24"/>
          <w:szCs w:val="24"/>
          <w:u w:val="none"/>
        </w:rPr>
      </w:pPr>
    </w:p>
    <w:p>
      <w:pPr>
        <w:tabs>
          <w:tab w:val="left" w:pos="0"/>
          <w:tab w:val="left" w:pos="180"/>
        </w:tabs>
        <w:ind w:firstLineChars="1450" w:firstLine="3480"/>
        <w:jc w:val="right"/>
        <w:rPr>
          <w:rFonts w:ascii="宋体"/>
          <w:color w:val="auto"/>
          <w:sz w:val="24"/>
          <w:szCs w:val="24"/>
          <w:u w:val="none"/>
        </w:rPr>
      </w:pPr>
    </w:p>
    <w:p>
      <w:pPr>
        <w:tabs>
          <w:tab w:val="left" w:pos="0"/>
          <w:tab w:val="left" w:pos="180"/>
        </w:tabs>
        <w:ind w:firstLineChars="1450" w:firstLine="3480"/>
        <w:jc w:val="right"/>
        <w:rPr>
          <w:rFonts w:ascii="宋体"/>
          <w:color w:val="auto"/>
          <w:sz w:val="24"/>
          <w:szCs w:val="24"/>
          <w:u w:val="none"/>
        </w:rPr>
      </w:pPr>
    </w:p>
    <w:p>
      <w:pPr>
        <w:rPr>
          <w:rFonts w:ascii="宋体"/>
          <w:color w:val="auto"/>
          <w:szCs w:val="21"/>
          <w:u w:val="none"/>
        </w:rPr>
      </w:pPr>
    </w:p>
    <w:sectPr>
      <w:headerReference w:type="default" r:id="rId2"/>
      <w:footerReference w:type="default"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Segoe UI">
    <w:panose1 w:val="020B0502040204020203"/>
    <w:charset w:val="00"/>
    <w:family w:val="swiss"/>
    <w:pitch w:val="variable"/>
    <w:sig w:usb0="E10022FF" w:usb1="C000E47F" w:usb2="00000029" w:usb3="00000000" w:csb0="200001DF" w:csb1="20000000"/>
  </w:font>
  <w:font w:name="方正黑体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Cambria">
    <w:panose1 w:val="02040503050406030204"/>
    <w:charset w:val="00"/>
    <w:family w:val="roman"/>
    <w:pitch w:val="variable"/>
    <w:sig w:usb0="E00002FF" w:usb1="400004FF" w:usb2="00000000"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7"/>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150" cy="1905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90500"/>
                      </a:xfrm>
                      <a:prstGeom prst="rect"/>
                      <a:noFill/>
                      <a:ln w="9525" cmpd="sng" cap="flat">
                        <a:noFill/>
                        <a:prstDash val="solid"/>
                        <a:miter/>
                      </a:ln>
                    </wps:spPr>
                    <wps:txbx id="2">
                      <w:txbxContent>
                        <w:p>
                          <w:pPr>
                            <w:pStyle w:val="27"/>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4.5pt;height:15.0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7"/>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5DFBD25"/>
    <w:multiLevelType w:val="singleLevel"/>
    <w:tmpl w:val="65DFBD25"/>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00" w:lineRule="exact"/>
      <w:jc w:val="both"/>
    </w:pPr>
    <w:rPr>
      <w:rFonts w:ascii="Calibri" w:eastAsia="宋体" w:cs="Arial" w:hAnsi="Calibri"/>
      <w:color w:val="0000FF"/>
      <w:kern w:val="2"/>
      <w:sz w:val="21"/>
      <w:szCs w:val="22"/>
      <w:u w:val="single"/>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eastAsia="宋体" w:cs="宋体"/>
      <w:b/>
      <w:kern w:val="36"/>
      <w:sz w:val="48"/>
      <w:szCs w:val="48"/>
    </w:rPr>
  </w:style>
  <w:style w:type="paragraph" w:styleId="2">
    <w:name w:val="heading 2"/>
    <w:basedOn w:val="0"/>
    <w:next w:val="0"/>
    <w:pPr>
      <w:keepNext/>
      <w:keepLines/>
      <w:widowControl w:val="0"/>
      <w:spacing w:before="260" w:after="260" w:line="415" w:lineRule="auto"/>
      <w:outlineLvl w:val="1"/>
    </w:pPr>
    <w:rPr>
      <w:rFonts w:ascii="Cambria" w:eastAsia="宋体" w:cs="Times New Roman" w:hAnsi="Cambria"/>
      <w:b/>
      <w:sz w:val="32"/>
      <w:szCs w:val="32"/>
    </w:rPr>
  </w:style>
  <w:style w:type="paragraph" w:styleId="3">
    <w:name w:val="heading 3"/>
    <w:next w:val="0"/>
    <w:pPr>
      <w:keepNext/>
      <w:keepLines/>
      <w:widowControl w:val="0"/>
      <w:spacing w:before="260" w:after="260" w:line="415" w:lineRule="auto"/>
      <w:jc w:val="both"/>
      <w:outlineLvl w:val="2"/>
    </w:pPr>
    <w:rPr>
      <w:rFonts w:ascii="Calibri" w:eastAsia="宋体" w:cs="Arial" w:hAnsi="Calibri"/>
      <w:b/>
      <w:bCs/>
      <w:caps/>
      <w:smallCaps w:val="0"/>
      <w:color w:val="0000FF"/>
      <w:kern w:val="2"/>
      <w:sz w:val="32"/>
      <w:szCs w:val="32"/>
      <w:u w:val="single"/>
      <w:lang w:val="en-US" w:eastAsia="zh-CN" w:bidi="ar-SA"/>
    </w:rPr>
  </w:style>
  <w:style w:type="paragraph" w:styleId="4">
    <w:name w:val="heading 4"/>
    <w:basedOn w:val="0"/>
    <w:next w:val="0"/>
    <w:pPr>
      <w:keepNext/>
      <w:keepLines/>
      <w:widowControl w:val="0"/>
      <w:spacing w:before="280" w:after="290" w:line="377" w:lineRule="auto"/>
      <w:outlineLvl w:val="3"/>
    </w:pPr>
    <w:rPr>
      <w:rFonts w:ascii="Cambria" w:eastAsia="宋体" w:cs="Times New Roman" w:hAnsi="Cambria"/>
      <w:b/>
      <w:sz w:val="28"/>
      <w:szCs w:val="28"/>
    </w:rPr>
  </w:style>
  <w:style w:type="paragraph" w:styleId="5">
    <w:name w:val="heading 5"/>
    <w:basedOn w:val="0"/>
    <w:next w:val="0"/>
    <w:pPr>
      <w:keepNext/>
      <w:keepLines/>
      <w:widowControl w:val="0"/>
      <w:spacing w:before="280" w:after="290" w:line="377" w:lineRule="auto"/>
      <w:outlineLvl w:val="4"/>
    </w:pPr>
    <w:rPr>
      <w:b/>
      <w:sz w:val="28"/>
      <w:szCs w:val="28"/>
    </w:rPr>
  </w:style>
  <w:style w:type="paragraph" w:styleId="6">
    <w:name w:val="heading 6"/>
    <w:basedOn w:val="0"/>
    <w:next w:val="0"/>
    <w:pPr>
      <w:keepNext/>
      <w:keepLines/>
      <w:widowControl w:val="0"/>
      <w:spacing w:before="240" w:after="64" w:line="319" w:lineRule="auto"/>
      <w:outlineLvl w:val="5"/>
    </w:pPr>
    <w:rPr>
      <w:rFonts w:ascii="Cambria" w:eastAsia="宋体" w:cs="Times New Roman" w:hAnsi="Cambria"/>
      <w:b/>
      <w:sz w:val="24"/>
      <w:szCs w:val="24"/>
    </w:rPr>
  </w:style>
  <w:style w:type="paragraph" w:styleId="7">
    <w:name w:val="heading 7"/>
    <w:basedOn w:val="0"/>
    <w:next w:val="0"/>
    <w:pPr>
      <w:keepNext/>
      <w:keepLines/>
      <w:widowControl w:val="0"/>
      <w:spacing w:before="240" w:after="64" w:line="319" w:lineRule="auto"/>
      <w:outlineLvl w:val="6"/>
    </w:pPr>
    <w:rPr>
      <w:b/>
      <w:sz w:val="24"/>
      <w:szCs w:val="24"/>
    </w:rPr>
  </w:style>
  <w:style w:type="paragraph" w:styleId="8">
    <w:name w:val="heading 8"/>
    <w:basedOn w:val="0"/>
    <w:next w:val="0"/>
    <w:pPr>
      <w:keepNext/>
      <w:keepLines/>
      <w:widowControl w:val="0"/>
      <w:spacing w:before="240" w:after="64" w:line="319" w:lineRule="auto"/>
      <w:outlineLvl w:val="7"/>
    </w:pPr>
    <w:rPr>
      <w:rFonts w:ascii="Cambria" w:eastAsia="宋体" w:cs="Times New Roman" w:hAnsi="Cambria"/>
      <w:sz w:val="24"/>
      <w:szCs w:val="24"/>
    </w:rPr>
  </w:style>
  <w:style w:type="paragraph" w:styleId="9">
    <w:name w:val="heading 9"/>
    <w:basedOn w:val="0"/>
    <w:next w:val="0"/>
    <w:pPr>
      <w:keepNext/>
      <w:keepLines/>
      <w:widowControl w:val="0"/>
      <w:spacing w:before="240" w:after="64" w:line="319" w:lineRule="auto"/>
      <w:outlineLvl w:val="8"/>
    </w:pPr>
    <w:rPr>
      <w:rFonts w:ascii="Cambria" w:eastAsia="宋体" w:cs="Times New Roman" w:hAnsi="Cambria"/>
      <w:szCs w:val="21"/>
    </w:rPr>
  </w:style>
  <w:style w:type="character" w:default="1" w:styleId="10">
    <w:name w:val="Default Paragraph Font"/>
  </w:style>
  <w:style w:type="paragraph" w:styleId="15">
    <w:name w:val="toc 7"/>
    <w:basedOn w:val="0"/>
    <w:next w:val="0"/>
    <w:pPr>
      <w:ind w:left="1260"/>
      <w:jc w:val="left"/>
    </w:pPr>
    <w:rPr>
      <w:sz w:val="18"/>
      <w:szCs w:val="18"/>
    </w:rPr>
  </w:style>
  <w:style w:type="paragraph" w:styleId="16">
    <w:name w:val="caption"/>
    <w:basedOn w:val="0"/>
    <w:next w:val="0"/>
    <w:rPr>
      <w:rFonts w:ascii="Cambria" w:eastAsia="黑体" w:cs="Times New Roman" w:hAnsi="Cambria"/>
      <w:sz w:val="20"/>
      <w:szCs w:val="20"/>
    </w:rPr>
  </w:style>
  <w:style w:type="paragraph" w:styleId="17">
    <w:name w:val="Document Map"/>
    <w:basedOn w:val="0"/>
    <w:pPr>
      <w:shd w:val="clear" w:color="auto" w:fill="000080"/>
    </w:pPr>
    <w:rPr>
      <w:kern w:val="0"/>
      <w:sz w:val="24"/>
    </w:rPr>
  </w:style>
  <w:style w:type="paragraph" w:styleId="18">
    <w:name w:val="annotation text"/>
    <w:basedOn w:val="0"/>
    <w:pPr>
      <w:jc w:val="left"/>
    </w:pPr>
    <w:rPr>
      <w:kern w:val="0"/>
      <w:sz w:val="24"/>
    </w:rPr>
  </w:style>
  <w:style w:type="paragraph" w:styleId="19">
    <w:name w:val="Body Text 3"/>
    <w:basedOn w:val="0"/>
    <w:rPr>
      <w:rFonts w:ascii="宋体"/>
      <w:kern w:val="0"/>
      <w:sz w:val="20"/>
    </w:rPr>
  </w:style>
  <w:style w:type="paragraph" w:styleId="20">
    <w:name w:val="Body Text"/>
    <w:basedOn w:val="0"/>
    <w:next w:val="0"/>
    <w:pPr>
      <w:spacing w:after="120"/>
    </w:pPr>
    <w:rPr>
      <w:rFonts w:cs="Arial"/>
    </w:rPr>
  </w:style>
  <w:style w:type="paragraph" w:styleId="21">
    <w:name w:val="Body Text Indent"/>
    <w:basedOn w:val="0"/>
    <w:pPr>
      <w:spacing w:after="120"/>
      <w:ind w:leftChars="200" w:left="200"/>
    </w:pPr>
    <w:rPr>
      <w:kern w:val="0"/>
      <w:sz w:val="24"/>
    </w:rPr>
  </w:style>
  <w:style w:type="paragraph" w:styleId="22">
    <w:name w:val="index 4"/>
    <w:basedOn w:val="0"/>
    <w:next w:val="0"/>
    <w:pPr>
      <w:ind w:leftChars="600" w:left="600"/>
    </w:pPr>
  </w:style>
  <w:style w:type="paragraph" w:styleId="23">
    <w:name w:val="toc 5"/>
    <w:basedOn w:val="0"/>
    <w:next w:val="0"/>
    <w:pPr>
      <w:ind w:left="840"/>
      <w:jc w:val="left"/>
    </w:pPr>
    <w:rPr>
      <w:sz w:val="18"/>
      <w:szCs w:val="18"/>
    </w:rPr>
  </w:style>
  <w:style w:type="paragraph" w:styleId="24">
    <w:name w:val="toc 3"/>
    <w:basedOn w:val="0"/>
    <w:next w:val="0"/>
    <w:pPr>
      <w:ind w:left="420"/>
      <w:jc w:val="left"/>
    </w:pPr>
    <w:rPr>
      <w:i/>
      <w:iCs/>
      <w:sz w:val="20"/>
    </w:rPr>
  </w:style>
  <w:style w:type="paragraph" w:styleId="25">
    <w:name w:val="Plain Text"/>
    <w:basedOn w:val="0"/>
    <w:rPr>
      <w:rFonts w:ascii="宋体"/>
      <w:szCs w:val="28"/>
    </w:rPr>
  </w:style>
  <w:style w:type="paragraph" w:styleId="26">
    <w:name w:val="Balloon Text"/>
    <w:basedOn w:val="0"/>
    <w:rPr>
      <w:kern w:val="0"/>
      <w:sz w:val="18"/>
      <w:szCs w:val="18"/>
    </w:rPr>
  </w:style>
  <w:style w:type="paragraph" w:styleId="27">
    <w:name w:val="footer"/>
    <w:basedOn w:val="0"/>
    <w:pPr>
      <w:tabs>
        <w:tab w:val="center" w:pos="4153"/>
        <w:tab w:val="right" w:pos="8306"/>
      </w:tabs>
      <w:snapToGrid w:val="0"/>
      <w:jc w:val="left"/>
    </w:pPr>
    <w:rPr>
      <w:rFonts w:ascii="Times New Roman" w:eastAsia="宋体" w:cs="Times New Roman" w:hAnsi="Times New Roman"/>
      <w:kern w:val="0"/>
      <w:sz w:val="18"/>
      <w:szCs w:val="18"/>
    </w:rPr>
  </w:style>
  <w:style w:type="paragraph" w:styleId="28">
    <w:name w:val="header"/>
    <w:basedOn w:val="0"/>
    <w:pPr>
      <w:pBdr>
        <w:bottom w:val="single" w:sz="6" w:space="1" w:color="auto"/>
      </w:pBdr>
      <w:tabs>
        <w:tab w:val="center" w:pos="4153"/>
        <w:tab w:val="right" w:pos="8306"/>
      </w:tabs>
      <w:snapToGrid w:val="0"/>
      <w:jc w:val="center"/>
    </w:pPr>
    <w:rPr>
      <w:sz w:val="18"/>
      <w:szCs w:val="18"/>
    </w:rPr>
  </w:style>
  <w:style w:type="paragraph" w:styleId="29">
    <w:name w:val="toc 1"/>
    <w:basedOn w:val="0"/>
    <w:next w:val="0"/>
    <w:pPr>
      <w:tabs>
        <w:tab w:val="right" w:leader="dot" w:pos="9175"/>
      </w:tabs>
      <w:adjustRightInd w:val="0"/>
      <w:spacing w:line="480" w:lineRule="auto"/>
    </w:pPr>
    <w:rPr>
      <w:rFonts w:ascii="宋体"/>
      <w:b/>
      <w:snapToGrid w:val="0"/>
      <w:szCs w:val="28"/>
      <w:lang w:val="zh-CN"/>
    </w:rPr>
  </w:style>
  <w:style w:type="paragraph" w:styleId="30">
    <w:name w:val="Subtitle"/>
    <w:basedOn w:val="0"/>
    <w:pPr>
      <w:spacing w:before="240" w:after="60" w:line="312" w:lineRule="auto"/>
      <w:jc w:val="center"/>
      <w:outlineLvl w:val="1"/>
    </w:pPr>
    <w:rPr>
      <w:rFonts w:ascii="Cambria" w:eastAsia="宋体" w:cs="Times New Roman" w:hAnsi="Cambria"/>
      <w:b/>
      <w:kern w:val="28"/>
      <w:sz w:val="32"/>
      <w:szCs w:val="32"/>
    </w:rPr>
  </w:style>
  <w:style w:type="paragraph" w:styleId="31">
    <w:name w:val="toc 2"/>
    <w:basedOn w:val="0"/>
    <w:next w:val="0"/>
    <w:pPr>
      <w:spacing w:after="100" w:line="276" w:lineRule="auto"/>
      <w:ind w:left="220"/>
      <w:jc w:val="left"/>
    </w:pPr>
  </w:style>
  <w:style w:type="paragraph" w:styleId="32">
    <w:name w:val="Normal (Web)"/>
    <w:basedOn w:val="0"/>
    <w:pPr>
      <w:spacing w:beforeAutospacing="1" w:afterAutospacing="1" w:line="240" w:lineRule="auto"/>
      <w:jc w:val="left"/>
    </w:pPr>
    <w:rPr>
      <w:rFonts w:cs="Times New Roman"/>
      <w:color w:val="auto"/>
      <w:kern w:val="0"/>
      <w:sz w:val="24"/>
      <w:szCs w:val="24"/>
      <w:u w:val="none"/>
    </w:rPr>
  </w:style>
  <w:style w:type="paragraph" w:styleId="33">
    <w:name w:val="Title"/>
    <w:basedOn w:val="0"/>
    <w:pPr>
      <w:spacing w:before="240" w:after="60"/>
      <w:jc w:val="center"/>
      <w:outlineLvl w:val="0"/>
    </w:pPr>
    <w:rPr>
      <w:rFonts w:ascii="Cambria" w:eastAsia="宋体" w:cs="Times New Roman" w:hAnsi="Cambria"/>
      <w:b/>
      <w:sz w:val="32"/>
      <w:szCs w:val="32"/>
    </w:rPr>
  </w:style>
  <w:style w:type="character" w:styleId="34">
    <w:name w:val="Strong"/>
    <w:basedOn w:val="10"/>
    <w:rPr>
      <w:b/>
      <w:bCs/>
    </w:rPr>
  </w:style>
  <w:style w:type="character" w:styleId="35">
    <w:name w:val="Emphasis"/>
    <w:basedOn w:val="10"/>
    <w:rPr>
      <w:i/>
      <w:iCs/>
    </w:rPr>
  </w:style>
  <w:style w:type="paragraph" w:customStyle="1" w:styleId="36">
    <w:name w:val="TOC 标题1"/>
    <w:basedOn w:val="1"/>
    <w:next w:val="0"/>
    <w:pPr>
      <w:keepNext/>
      <w:keepLines/>
      <w:widowControl w:val="0"/>
      <w:spacing w:before="340" w:beforeAutospacing="0" w:after="330" w:afterAutospacing="0" w:line="578" w:lineRule="auto"/>
      <w:jc w:val="both"/>
      <w:outlineLvl w:val="9"/>
    </w:pPr>
    <w:rPr>
      <w:rFonts w:ascii="Calibri" w:eastAsia="宋体" w:cs="Arial" w:hAnsi="Calibri"/>
      <w:kern w:val="44"/>
      <w:sz w:val="44"/>
      <w:szCs w:val="44"/>
    </w:rPr>
  </w:style>
  <w:style w:type="paragraph" w:customStyle="1" w:styleId="37">
    <w:name w:val="No Spacing"/>
    <w:basedOn w:val="0"/>
    <w:pPr>
      <w:widowControl/>
      <w:spacing w:before="100" w:beforeAutospacing="1" w:after="100" w:afterAutospacing="1"/>
      <w:jc w:val="left"/>
    </w:pPr>
    <w:rPr>
      <w:rFonts w:ascii="宋体" w:eastAsia="宋体" w:cs="宋体"/>
      <w:kern w:val="0"/>
      <w:sz w:val="24"/>
      <w:szCs w:val="24"/>
    </w:rPr>
  </w:style>
  <w:style w:type="paragraph" w:customStyle="1" w:styleId="38">
    <w:name w:val="List Paragraph"/>
    <w:basedOn w:val="0"/>
    <w:pPr>
      <w:ind w:firstLineChars="200" w:firstLine="200"/>
    </w:pPr>
  </w:style>
  <w:style w:type="paragraph" w:customStyle="1" w:styleId="39">
    <w:name w:val="Quote"/>
    <w:basedOn w:val="0"/>
    <w:next w:val="0"/>
    <w:rPr>
      <w:rFonts w:cs="Times New Roman"/>
      <w:i/>
      <w:iCs/>
      <w:color w:val="000000"/>
    </w:rPr>
  </w:style>
  <w:style w:type="paragraph" w:customStyle="1" w:styleId="40">
    <w:name w:val="Intense Quote"/>
    <w:basedOn w:val="0"/>
    <w:next w:val="0"/>
    <w:pPr>
      <w:pBdr>
        <w:bottom w:val="single" w:sz="4" w:space="4" w:color="4F81BD"/>
      </w:pBdr>
      <w:spacing w:before="200" w:after="280"/>
      <w:ind w:left="936" w:right="936"/>
    </w:pPr>
    <w:rPr>
      <w:rFonts w:cs="Times New Roman"/>
      <w:b/>
      <w:i/>
      <w:iCs/>
      <w:color w:val="4F81BD"/>
    </w:rPr>
  </w:style>
  <w:style w:type="character" w:customStyle="1" w:styleId="41">
    <w:name w:val="不明显强调1"/>
    <w:rPr>
      <w:i/>
      <w:iCs/>
      <w:color w:val="7F7F7F"/>
    </w:rPr>
  </w:style>
  <w:style w:type="character" w:customStyle="1" w:styleId="42">
    <w:name w:val="明显强调1"/>
    <w:rPr>
      <w:b/>
      <w:bCs/>
      <w:i/>
      <w:iCs/>
      <w:color w:val="4F81BD"/>
    </w:rPr>
  </w:style>
  <w:style w:type="character" w:customStyle="1" w:styleId="43">
    <w:name w:val="不明显参考1"/>
    <w:rPr>
      <w:caps w:val="0"/>
      <w:smallCaps/>
      <w:color w:val="C0504D"/>
      <w:u w:val="single"/>
    </w:rPr>
  </w:style>
  <w:style w:type="character" w:customStyle="1" w:styleId="44">
    <w:name w:val="明显参考1"/>
    <w:basedOn w:val="10"/>
    <w:rPr>
      <w:b/>
      <w:bCs/>
      <w:caps w:val="0"/>
      <w:smallCaps/>
      <w:color w:val="C0504D"/>
      <w:spacing w:val="5"/>
      <w:u w:val="single"/>
    </w:rPr>
  </w:style>
  <w:style w:type="character" w:customStyle="1" w:styleId="45">
    <w:name w:val="书籍标题1"/>
    <w:basedOn w:val="10"/>
    <w:rPr>
      <w:b/>
      <w:bCs/>
      <w:caps w:val="0"/>
      <w:smallCaps/>
      <w:spacing w:val="5"/>
    </w:rPr>
  </w:style>
  <w:style w:type="paragraph" w:customStyle="1" w:styleId="46">
    <w:name w:val="p0"/>
    <w:basedOn w:val="0"/>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spacing w:line="300" w:lineRule="exact"/>
    </w:pPr>
    <w:rPr>
      <w:rFonts w:ascii="宋体" w:eastAsia="宋体" w:cs="Times New Roman"/>
      <w:bCs/>
      <w:caps/>
      <w:smallCaps w:val="0"/>
      <w:color w:val="0000FF"/>
      <w:kern w:val="2"/>
      <w:sz w:val="21"/>
      <w:u w:val="singl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Application>
  <Pages>8</Pages>
  <Words>4312</Words>
  <Characters>4948</Characters>
  <Lines>772</Lines>
  <Paragraphs>537</Paragraphs>
  <CharactersWithSpaces>5000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kl</dc:creator>
  <cp:lastModifiedBy>Windows 用户</cp:lastModifiedBy>
  <cp:revision>6</cp:revision>
  <dcterms:created xsi:type="dcterms:W3CDTF">2021-03-18T06:41:00Z</dcterms:created>
  <dcterms:modified xsi:type="dcterms:W3CDTF">2021-04-06T08:40:49Z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2052-11.1.0.10356</vt:lpwstr>
  </property>
  <property fmtid="{D5CDD505-2E9C-101B-9397-08002B2CF9AE}" pid="3" name="KSOSaveFontToCloudKey">
    <vt:lpwstr>540583418_btnclosed</vt:lpwstr>
  </property>
  <property fmtid="{D5CDD505-2E9C-101B-9397-08002B2CF9AE}" pid="4" name="ICV">
    <vt:lpwstr>EF600987D13F421C9D59E12EE2B09CCD</vt:lpwstr>
  </property>
</Properties>
</file>