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附件</w:t>
      </w:r>
    </w:p>
    <w:p>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40"/>
          <w:szCs w:val="24"/>
          <w:lang w:eastAsia="zh-CN"/>
        </w:rPr>
      </w:pPr>
      <w:r>
        <w:rPr>
          <w:rFonts w:hint="eastAsia" w:ascii="方正小标宋_GBK" w:hAnsi="方正小标宋_GBK" w:eastAsia="方正小标宋_GBK" w:cs="方正小标宋_GBK"/>
          <w:sz w:val="40"/>
          <w:szCs w:val="24"/>
          <w:lang w:eastAsia="zh-CN"/>
        </w:rPr>
        <w:t>采购服务内容及相关要求</w:t>
      </w:r>
    </w:p>
    <w:tbl>
      <w:tblPr>
        <w:tblStyle w:val="7"/>
        <w:tblpPr w:leftFromText="180" w:rightFromText="180" w:vertAnchor="text" w:horzAnchor="page" w:tblpX="1650" w:tblpY="1811"/>
        <w:tblOverlap w:val="never"/>
        <w:tblW w:w="8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93" w:type="dxa"/>
            <w:vAlign w:val="center"/>
          </w:tcPr>
          <w:p>
            <w:pPr>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服务名称</w:t>
            </w:r>
          </w:p>
        </w:tc>
        <w:tc>
          <w:tcPr>
            <w:tcW w:w="6940"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93"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网络安全等级保护测评服务</w:t>
            </w:r>
          </w:p>
        </w:tc>
        <w:tc>
          <w:tcPr>
            <w:tcW w:w="6940" w:type="dxa"/>
          </w:tcPr>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根据《信息安全等级保护管理办法》、GB/T 22239-2019《信息安全技术网络安全等级保护基本要求》等法规和标准的要求，在充分了解被测系统的情况下从实际出发，结合该系统的构成特点，确定具体的测评对象，建立测评方案和测评指导书，通过访谈、检查和工具测试等方式判断该系统安全管理和安全技术的各个方面相对于测评指标的符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93"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安全培训</w:t>
            </w:r>
          </w:p>
        </w:tc>
        <w:tc>
          <w:tcPr>
            <w:tcW w:w="6940" w:type="dxa"/>
          </w:tcPr>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结合网络安全形势和常见安全问题，提供网络安全技术培训，提升IT技术人员、安全管理人员等的网络安全技能。并具培训记录以及培训资料。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93"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安全咨询</w:t>
            </w:r>
          </w:p>
        </w:tc>
        <w:tc>
          <w:tcPr>
            <w:tcW w:w="6940" w:type="dxa"/>
          </w:tcPr>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检测出的安全风险问题，提供对安全问题的危害、修复方式方法进行技术指导。根据国家网络安全法律法规、行业主管部门以及网络安全监管单位要求，为网络安全日常运行过程中的相关问题提供技术及管理方面的咨询，并出具资询记录建议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93"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应急支撑服务</w:t>
            </w:r>
          </w:p>
        </w:tc>
        <w:tc>
          <w:tcPr>
            <w:tcW w:w="6940" w:type="dxa"/>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当发生突发网络安全公共事件时，进行快速应急响应，降低安全事件带来的损失和社会影响。应急响应处理包括事前及时预警、事中积极响应、事后取证、分析及提供解决方案等工作；遇到网络攻击或网页被篡改等恶性事件，要求4小时内到达现场，实施有效的紧急救援及恢复补救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93"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配合迎检工作</w:t>
            </w:r>
          </w:p>
        </w:tc>
        <w:tc>
          <w:tcPr>
            <w:tcW w:w="6940" w:type="dxa"/>
          </w:tcPr>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现场配合甲方迎接网络安全主管部门检查。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93"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网络安全制度汇编</w:t>
            </w:r>
          </w:p>
        </w:tc>
        <w:tc>
          <w:tcPr>
            <w:tcW w:w="6940" w:type="dxa"/>
          </w:tcPr>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配合业主方完善网络安全制度汇编、文档等资料。</w:t>
            </w:r>
          </w:p>
        </w:tc>
      </w:tr>
    </w:tbl>
    <w:p>
      <w:pPr>
        <w:pStyle w:val="2"/>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一、服务内容</w:t>
      </w:r>
    </w:p>
    <w:p>
      <w:pPr>
        <w:pStyle w:val="2"/>
        <w:rPr>
          <w:rFonts w:hint="eastAsia"/>
          <w:lang w:eastAsia="zh-CN"/>
        </w:rPr>
      </w:pPr>
    </w:p>
    <w:p>
      <w:pPr>
        <w:pStyle w:val="2"/>
        <w:rPr>
          <w:rFonts w:hint="eastAsia" w:ascii="宋体" w:hAnsi="宋体" w:eastAsia="方正仿宋_GBK" w:cs="宋体"/>
          <w:sz w:val="32"/>
          <w:szCs w:val="32"/>
          <w:lang w:eastAsia="zh-CN"/>
        </w:rPr>
      </w:pPr>
    </w:p>
    <w:p>
      <w:pPr>
        <w:pStyle w:val="2"/>
        <w:rPr>
          <w:rFonts w:hint="eastAsia" w:ascii="宋体" w:hAnsi="宋体" w:eastAsia="方正仿宋_GBK" w:cs="宋体"/>
          <w:sz w:val="32"/>
          <w:szCs w:val="32"/>
          <w:lang w:eastAsia="zh-CN"/>
        </w:rPr>
      </w:pPr>
    </w:p>
    <w:p>
      <w:pPr>
        <w:pStyle w:val="2"/>
        <w:rPr>
          <w:rFonts w:hint="eastAsia" w:ascii="宋体" w:hAnsi="宋体" w:eastAsia="方正仿宋_GBK" w:cs="宋体"/>
          <w:sz w:val="32"/>
          <w:szCs w:val="32"/>
          <w:lang w:eastAsia="zh-CN"/>
        </w:rPr>
      </w:pPr>
    </w:p>
    <w:p>
      <w:pPr>
        <w:pStyle w:val="2"/>
        <w:rPr>
          <w:rFonts w:hint="eastAsia" w:ascii="宋体" w:hAnsi="宋体" w:eastAsia="方正仿宋_GBK" w:cs="宋体"/>
          <w:sz w:val="32"/>
          <w:szCs w:val="32"/>
          <w:lang w:eastAsia="zh-CN"/>
        </w:rPr>
      </w:pPr>
    </w:p>
    <w:p>
      <w:pPr>
        <w:pStyle w:val="2"/>
        <w:rPr>
          <w:rFonts w:hint="eastAsia" w:ascii="宋体" w:hAnsi="宋体" w:eastAsia="方正仿宋_GBK" w:cs="宋体"/>
          <w:sz w:val="32"/>
          <w:szCs w:val="32"/>
          <w:lang w:eastAsia="zh-CN"/>
        </w:rPr>
      </w:pPr>
    </w:p>
    <w:p>
      <w:pPr>
        <w:pStyle w:val="2"/>
        <w:rPr>
          <w:rFonts w:hint="eastAsia" w:ascii="宋体" w:hAnsi="宋体" w:eastAsia="方正仿宋_GBK" w:cs="宋体"/>
          <w:sz w:val="32"/>
          <w:szCs w:val="32"/>
          <w:lang w:eastAsia="zh-CN"/>
        </w:rPr>
      </w:pPr>
    </w:p>
    <w:p>
      <w:pPr>
        <w:pStyle w:val="2"/>
        <w:rPr>
          <w:rFonts w:hint="eastAsia" w:ascii="宋体" w:hAnsi="宋体" w:eastAsia="方正仿宋_GBK" w:cs="宋体"/>
          <w:sz w:val="32"/>
          <w:szCs w:val="32"/>
          <w:lang w:eastAsia="zh-CN"/>
        </w:rPr>
      </w:pPr>
    </w:p>
    <w:p>
      <w:pPr>
        <w:pStyle w:val="2"/>
        <w:rPr>
          <w:rFonts w:hint="eastAsia" w:ascii="宋体" w:hAnsi="宋体" w:eastAsia="方正仿宋_GBK" w:cs="宋体"/>
          <w:sz w:val="32"/>
          <w:szCs w:val="32"/>
          <w:lang w:eastAsia="zh-CN"/>
        </w:rPr>
      </w:pPr>
    </w:p>
    <w:p>
      <w:pPr>
        <w:pStyle w:val="2"/>
        <w:rPr>
          <w:rFonts w:hint="eastAsia" w:ascii="宋体" w:hAnsi="宋体" w:eastAsia="方正仿宋_GBK" w:cs="宋体"/>
          <w:sz w:val="32"/>
          <w:szCs w:val="32"/>
          <w:lang w:eastAsia="zh-CN"/>
        </w:rPr>
      </w:pPr>
    </w:p>
    <w:p>
      <w:pPr>
        <w:pStyle w:val="2"/>
        <w:rPr>
          <w:rFonts w:hint="eastAsia" w:ascii="方正黑体_GBK" w:hAnsi="方正黑体_GBK" w:eastAsia="方正黑体_GBK" w:cs="方正黑体_GBK"/>
          <w:color w:val="000000" w:themeColor="text1"/>
          <w:sz w:val="24"/>
          <w:szCs w:val="24"/>
          <w14:textFill>
            <w14:solidFill>
              <w14:schemeClr w14:val="tx1"/>
            </w14:solidFill>
          </w14:textFill>
        </w:rPr>
      </w:pPr>
      <w:bookmarkStart w:id="0" w:name="_Toc1363"/>
      <w:bookmarkStart w:id="1" w:name="_Toc12680"/>
      <w:bookmarkStart w:id="2" w:name="_Toc4745"/>
      <w:bookmarkStart w:id="3" w:name="_Toc521661359"/>
      <w:bookmarkStart w:id="4" w:name="_Toc7648"/>
    </w:p>
    <w:p>
      <w:pPr>
        <w:widowControl/>
        <w:spacing w:line="360" w:lineRule="auto"/>
        <w:rPr>
          <w:rFonts w:hint="eastAsia" w:ascii="方正黑体_GBK" w:hAnsi="方正黑体_GBK" w:eastAsia="方正黑体_GBK" w:cs="方正黑体_GBK"/>
          <w:b/>
          <w:color w:val="000000" w:themeColor="text1"/>
          <w:sz w:val="32"/>
          <w:szCs w:val="32"/>
          <w14:textFill>
            <w14:solidFill>
              <w14:schemeClr w14:val="tx1"/>
            </w14:solidFill>
          </w14:textFill>
        </w:rPr>
      </w:pPr>
      <w:r>
        <w:rPr>
          <w:rFonts w:hint="eastAsia" w:ascii="方正黑体_GBK" w:hAnsi="方正黑体_GBK" w:eastAsia="方正黑体_GBK" w:cs="方正黑体_GBK"/>
          <w:b/>
          <w:color w:val="000000" w:themeColor="text1"/>
          <w:sz w:val="32"/>
          <w:szCs w:val="32"/>
          <w:lang w:eastAsia="zh-CN"/>
          <w14:textFill>
            <w14:solidFill>
              <w14:schemeClr w14:val="tx1"/>
            </w14:solidFill>
          </w14:textFill>
        </w:rPr>
        <w:t>二</w:t>
      </w:r>
      <w:r>
        <w:rPr>
          <w:rFonts w:hint="eastAsia" w:ascii="方正黑体_GBK" w:hAnsi="方正黑体_GBK" w:eastAsia="方正黑体_GBK" w:cs="方正黑体_GBK"/>
          <w:b/>
          <w:color w:val="000000" w:themeColor="text1"/>
          <w:sz w:val="32"/>
          <w:szCs w:val="32"/>
          <w14:textFill>
            <w14:solidFill>
              <w14:schemeClr w14:val="tx1"/>
            </w14:solidFill>
          </w14:textFill>
        </w:rPr>
        <w:t>、技术要求</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测评范围主要包括：安全物理环境、安全通信网络、安全区域边界、安全计算环境、安全管理中心、安全管理制度、安全管理机构、安全管理人员、安全建设管理、安全运维管理等方面。</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ascii="宋体" w:hAnsi="宋体"/>
          <w:snapToGrid w:val="0"/>
          <w:color w:val="000000" w:themeColor="text1"/>
          <w:sz w:val="24"/>
          <w14:textFill>
            <w14:solidFill>
              <w14:schemeClr w14:val="tx1"/>
            </w14:solidFill>
          </w14:textFill>
        </w:rPr>
        <w:t>测评指标和对象：测评指标和对象选择须符合国标《GB/T 28448-2019网络安全等级保护测评要求》的相关要求。</w:t>
      </w:r>
    </w:p>
    <w:p>
      <w:pPr>
        <w:spacing w:line="360" w:lineRule="auto"/>
        <w:ind w:firstLine="482" w:firstLineChars="200"/>
        <w:rPr>
          <w:rFonts w:ascii="宋体" w:hAnsi="宋体"/>
          <w:snapToGrid w:val="0"/>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1、技术测评：</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（1）安全物理环境测评（物理位置的选择、物理访问控制、防盗窃和防破坏、防雷击、防火、防水和防潮、防静电、温湿度控制、电力供应、电磁防护）；</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（2）安全通信网络测评（网络架构、通信传输、可信验证）；</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（3）安全区域边界测评（边界防护、访问控制、入侵防范、恶意代码和垃圾邮件防范、安全审计、可信验证）；</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（4）安全计算环境测评（身份鉴别、访问控制、安全审计、入侵防范、恶意代码防范、可信验证、数据完整性、数据保密性、数据备份恢复、剩余信息保护、个人信息保护）；</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（5）安全管理中心测评（系统管理、审计管理、安全管理、集中管控）。</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2、管理测评：</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（1）安全管理制度测评（安全策略、管理制度、制定和发布、评审和修订）；</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（2）安全管理机构测评（岗位设置、人员配备、授权和审批、沟通和合作、审核和检查）；</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（3）安全管理人员测评（人员录用、人员离岗、安全意识教育和培训、外部人员访问管理）；</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（4）安全建设管理测评（定级和备案、安全方案设计、产品采购和使用、自行软件开发、外包软件开发、工程实施、测试验收、系统支付、等级测评、服务供应商选择）；</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w:t>
      </w:r>
      <w:r>
        <w:rPr>
          <w:rFonts w:ascii="宋体" w:hAnsi="宋体"/>
          <w:b/>
          <w:color w:val="000000" w:themeColor="text1"/>
          <w:sz w:val="24"/>
          <w14:textFill>
            <w14:solidFill>
              <w14:schemeClr w14:val="tx1"/>
            </w14:solidFill>
          </w14:textFill>
        </w:rPr>
        <w:t>实施要求：</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w:t>
      </w:r>
      <w:r>
        <w:rPr>
          <w:rFonts w:ascii="宋体" w:hAnsi="宋体"/>
          <w:snapToGrid w:val="0"/>
          <w:color w:val="000000" w:themeColor="text1"/>
          <w:sz w:val="24"/>
          <w14:textFill>
            <w14:solidFill>
              <w14:schemeClr w14:val="tx1"/>
            </w14:solidFill>
          </w14:textFill>
        </w:rPr>
        <w:t>1</w:t>
      </w:r>
      <w:r>
        <w:rPr>
          <w:rFonts w:hint="eastAsia" w:ascii="宋体" w:hAnsi="宋体"/>
          <w:snapToGrid w:val="0"/>
          <w:color w:val="000000" w:themeColor="text1"/>
          <w:sz w:val="24"/>
          <w14:textFill>
            <w14:solidFill>
              <w14:schemeClr w14:val="tx1"/>
            </w14:solidFill>
          </w14:textFill>
        </w:rPr>
        <w:t>）供应商必须承诺对本项目技术文件以及由用户提供的所有内部资料、技术文档和信息予以保密</w:t>
      </w:r>
      <w:r>
        <w:rPr>
          <w:rFonts w:ascii="宋体" w:hAnsi="宋体"/>
          <w:snapToGrid w:val="0"/>
          <w:color w:val="000000" w:themeColor="text1"/>
          <w:sz w:val="24"/>
          <w14:textFill>
            <w14:solidFill>
              <w14:schemeClr w14:val="tx1"/>
            </w14:solidFill>
          </w14:textFill>
        </w:rPr>
        <w:t>。</w:t>
      </w:r>
      <w:r>
        <w:rPr>
          <w:rFonts w:hint="eastAsia" w:ascii="宋体" w:hAnsi="宋体"/>
          <w:snapToGrid w:val="0"/>
          <w:color w:val="000000" w:themeColor="text1"/>
          <w:sz w:val="24"/>
          <w14:textFill>
            <w14:solidFill>
              <w14:schemeClr w14:val="tx1"/>
            </w14:solidFill>
          </w14:textFill>
        </w:rPr>
        <w:t>供应商须按采购人的要求签订保密协议，未经采购人书面许可，不得以任何形式向第三方透露本项目标书以及本项目的任何内容。</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w:t>
      </w:r>
      <w:r>
        <w:rPr>
          <w:rFonts w:ascii="宋体" w:hAnsi="宋体"/>
          <w:snapToGrid w:val="0"/>
          <w:color w:val="000000" w:themeColor="text1"/>
          <w:sz w:val="24"/>
          <w14:textFill>
            <w14:solidFill>
              <w14:schemeClr w14:val="tx1"/>
            </w14:solidFill>
          </w14:textFill>
        </w:rPr>
        <w:t>2</w:t>
      </w:r>
      <w:r>
        <w:rPr>
          <w:rFonts w:hint="eastAsia" w:ascii="宋体" w:hAnsi="宋体"/>
          <w:snapToGrid w:val="0"/>
          <w:color w:val="000000" w:themeColor="text1"/>
          <w:sz w:val="24"/>
          <w14:textFill>
            <w14:solidFill>
              <w14:schemeClr w14:val="tx1"/>
            </w14:solidFill>
          </w14:textFill>
        </w:rPr>
        <w:t>）供应商在项目实施过程中，需对项目进行规范化管理，要有项目管理组织、项目管理计划、服务资产管理</w:t>
      </w:r>
      <w:r>
        <w:rPr>
          <w:rFonts w:ascii="宋体" w:hAnsi="宋体"/>
          <w:snapToGrid w:val="0"/>
          <w:color w:val="000000" w:themeColor="text1"/>
          <w:sz w:val="24"/>
          <w14:textFill>
            <w14:solidFill>
              <w14:schemeClr w14:val="tx1"/>
            </w14:solidFill>
          </w14:textFill>
        </w:rPr>
        <w:t>等</w:t>
      </w:r>
      <w:r>
        <w:rPr>
          <w:rFonts w:hint="eastAsia" w:ascii="宋体" w:hAnsi="宋体"/>
          <w:snapToGrid w:val="0"/>
          <w:color w:val="000000" w:themeColor="text1"/>
          <w:sz w:val="24"/>
          <w14:textFill>
            <w14:solidFill>
              <w14:schemeClr w14:val="tx1"/>
            </w14:solidFill>
          </w14:textFill>
        </w:rPr>
        <w:t>。</w:t>
      </w:r>
      <w:r>
        <w:rPr>
          <w:rFonts w:ascii="宋体" w:hAnsi="宋体"/>
          <w:snapToGrid w:val="0"/>
          <w:color w:val="000000" w:themeColor="text1"/>
          <w:sz w:val="24"/>
          <w14:textFill>
            <w14:solidFill>
              <w14:schemeClr w14:val="tx1"/>
            </w14:solidFill>
          </w14:textFill>
        </w:rPr>
        <w:t>同时，</w:t>
      </w:r>
      <w:r>
        <w:rPr>
          <w:rFonts w:hint="eastAsia" w:ascii="宋体" w:hAnsi="宋体"/>
          <w:snapToGrid w:val="0"/>
          <w:color w:val="000000" w:themeColor="text1"/>
          <w:sz w:val="24"/>
          <w14:textFill>
            <w14:solidFill>
              <w14:schemeClr w14:val="tx1"/>
            </w14:solidFill>
          </w14:textFill>
        </w:rPr>
        <w:t>供应商应根据项目实际情况制定项目实施计划，严格按照项目实施计划推动项目实施，确保项目进度。</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w:t>
      </w:r>
      <w:r>
        <w:rPr>
          <w:rFonts w:ascii="宋体" w:hAnsi="宋体"/>
          <w:snapToGrid w:val="0"/>
          <w:color w:val="000000" w:themeColor="text1"/>
          <w:sz w:val="24"/>
          <w14:textFill>
            <w14:solidFill>
              <w14:schemeClr w14:val="tx1"/>
            </w14:solidFill>
          </w14:textFill>
        </w:rPr>
        <w:t>3</w:t>
      </w:r>
      <w:r>
        <w:rPr>
          <w:rFonts w:hint="eastAsia" w:ascii="宋体" w:hAnsi="宋体"/>
          <w:snapToGrid w:val="0"/>
          <w:color w:val="000000" w:themeColor="text1"/>
          <w:sz w:val="24"/>
          <w14:textFill>
            <w14:solidFill>
              <w14:schemeClr w14:val="tx1"/>
            </w14:solidFill>
          </w14:textFill>
        </w:rPr>
        <w:t>）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r>
        <w:rPr>
          <w:rFonts w:ascii="宋体" w:hAnsi="宋体"/>
          <w:snapToGrid w:val="0"/>
          <w:color w:val="000000" w:themeColor="text1"/>
          <w:sz w:val="24"/>
          <w14:textFill>
            <w14:solidFill>
              <w14:schemeClr w14:val="tx1"/>
            </w14:solidFill>
          </w14:textFill>
        </w:rPr>
        <w:t>（</w:t>
      </w:r>
      <w:r>
        <w:rPr>
          <w:rFonts w:hint="eastAsia" w:ascii="宋体" w:hAnsi="宋体"/>
          <w:snapToGrid w:val="0"/>
          <w:color w:val="000000" w:themeColor="text1"/>
          <w:sz w:val="24"/>
          <w14:textFill>
            <w14:solidFill>
              <w14:schemeClr w14:val="tx1"/>
            </w14:solidFill>
          </w14:textFill>
        </w:rPr>
        <w:t>4</w:t>
      </w:r>
      <w:r>
        <w:rPr>
          <w:rFonts w:ascii="宋体" w:hAnsi="宋体"/>
          <w:snapToGrid w:val="0"/>
          <w:color w:val="000000" w:themeColor="text1"/>
          <w:sz w:val="24"/>
          <w14:textFill>
            <w14:solidFill>
              <w14:schemeClr w14:val="tx1"/>
            </w14:solidFill>
          </w14:textFill>
        </w:rPr>
        <w:t>）</w:t>
      </w:r>
      <w:r>
        <w:rPr>
          <w:rFonts w:hint="eastAsia" w:ascii="宋体" w:hAnsi="宋体"/>
          <w:snapToGrid w:val="0"/>
          <w:color w:val="000000" w:themeColor="text1"/>
          <w:sz w:val="24"/>
          <w14:textFill>
            <w14:solidFill>
              <w14:schemeClr w14:val="tx1"/>
            </w14:solidFill>
          </w14:textFill>
        </w:rPr>
        <w:t>在项目实施过程中，供应商应成立相应的项目组，指定一名专职的项目经理协调和调度项目实施工作。</w:t>
      </w:r>
    </w:p>
    <w:p>
      <w:pPr>
        <w:widowControl/>
        <w:spacing w:line="360" w:lineRule="auto"/>
        <w:ind w:firstLine="480" w:firstLineChars="200"/>
        <w:rPr>
          <w:rFonts w:ascii="宋体" w:hAnsi="宋体"/>
          <w:snapToGrid w:val="0"/>
          <w:color w:val="000000" w:themeColor="text1"/>
          <w:sz w:val="24"/>
          <w14:textFill>
            <w14:solidFill>
              <w14:schemeClr w14:val="tx1"/>
            </w14:solidFill>
          </w14:textFill>
        </w:rPr>
      </w:pPr>
      <w:bookmarkStart w:id="5" w:name="_Hlk536110944"/>
      <w:r>
        <w:rPr>
          <w:rFonts w:ascii="宋体" w:hAnsi="宋体"/>
          <w:snapToGrid w:val="0"/>
          <w:color w:val="000000" w:themeColor="text1"/>
          <w:sz w:val="24"/>
          <w14:textFill>
            <w14:solidFill>
              <w14:schemeClr w14:val="tx1"/>
            </w14:solidFill>
          </w14:textFill>
        </w:rPr>
        <w:t>（</w:t>
      </w:r>
      <w:r>
        <w:rPr>
          <w:rFonts w:hint="eastAsia" w:ascii="宋体" w:hAnsi="宋体"/>
          <w:snapToGrid w:val="0"/>
          <w:color w:val="000000" w:themeColor="text1"/>
          <w:sz w:val="24"/>
          <w14:textFill>
            <w14:solidFill>
              <w14:schemeClr w14:val="tx1"/>
            </w14:solidFill>
          </w14:textFill>
        </w:rPr>
        <w:t>5</w:t>
      </w:r>
      <w:r>
        <w:rPr>
          <w:rFonts w:ascii="宋体" w:hAnsi="宋体"/>
          <w:snapToGrid w:val="0"/>
          <w:color w:val="000000" w:themeColor="text1"/>
          <w:sz w:val="24"/>
          <w14:textFill>
            <w14:solidFill>
              <w14:schemeClr w14:val="tx1"/>
            </w14:solidFill>
          </w14:textFill>
        </w:rPr>
        <w:t>）</w:t>
      </w:r>
      <w:r>
        <w:rPr>
          <w:rFonts w:hint="eastAsia" w:ascii="宋体" w:hAnsi="宋体"/>
          <w:snapToGrid w:val="0"/>
          <w:color w:val="000000" w:themeColor="text1"/>
          <w:sz w:val="24"/>
          <w14:textFill>
            <w14:solidFill>
              <w14:schemeClr w14:val="tx1"/>
            </w14:solidFill>
          </w14:textFill>
        </w:rPr>
        <w:t>依据《网络安全等级保护测评机构管理办法》相关规定：“属于异地测评项目的，测评机构应从项目管理系统中生成测评项目基本情况表，并于测评项目实施前报送或传至被测评网络备案公安机关”。属于异地测评项目的,成交供应商应在合同签订前提交审核通过的《测评项目基本情况表》。</w:t>
      </w:r>
      <w:bookmarkStart w:id="6" w:name="_Hlk536114330"/>
      <w:r>
        <w:rPr>
          <w:rFonts w:hint="eastAsia" w:ascii="宋体" w:hAnsi="宋体"/>
          <w:snapToGrid w:val="0"/>
          <w:color w:val="000000" w:themeColor="text1"/>
          <w:sz w:val="24"/>
          <w14:textFill>
            <w14:solidFill>
              <w14:schemeClr w14:val="tx1"/>
            </w14:solidFill>
          </w14:textFill>
        </w:rPr>
        <w:t>如出现不能按时提交或备案不通过的，视为成交供应商不具备签订合同的基本条件，采购人有权按评审排名依序顺延。</w:t>
      </w:r>
      <w:bookmarkEnd w:id="5"/>
      <w:bookmarkEnd w:id="6"/>
    </w:p>
    <w:p>
      <w:pPr>
        <w:ind w:firstLine="570"/>
        <w:rPr>
          <w:rFonts w:ascii="宋体" w:hAnsi="宋体"/>
          <w:snapToGrid w:val="0"/>
          <w:color w:val="000000" w:themeColor="text1"/>
          <w:sz w:val="24"/>
          <w14:textFill>
            <w14:solidFill>
              <w14:schemeClr w14:val="tx1"/>
            </w14:solidFill>
          </w14:textFill>
        </w:rPr>
      </w:pPr>
      <w:r>
        <w:rPr>
          <w:rFonts w:ascii="宋体" w:hAnsi="宋体"/>
          <w:snapToGrid w:val="0"/>
          <w:color w:val="000000" w:themeColor="text1"/>
          <w:sz w:val="24"/>
          <w14:textFill>
            <w14:solidFill>
              <w14:schemeClr w14:val="tx1"/>
            </w14:solidFill>
          </w14:textFill>
        </w:rPr>
        <w:t>（</w:t>
      </w:r>
      <w:r>
        <w:rPr>
          <w:rFonts w:hint="eastAsia" w:ascii="宋体" w:hAnsi="宋体"/>
          <w:snapToGrid w:val="0"/>
          <w:color w:val="000000" w:themeColor="text1"/>
          <w:sz w:val="24"/>
          <w14:textFill>
            <w14:solidFill>
              <w14:schemeClr w14:val="tx1"/>
            </w14:solidFill>
          </w14:textFill>
        </w:rPr>
        <w:t>6</w:t>
      </w:r>
      <w:r>
        <w:rPr>
          <w:rFonts w:ascii="宋体" w:hAnsi="宋体"/>
          <w:snapToGrid w:val="0"/>
          <w:color w:val="000000" w:themeColor="text1"/>
          <w:sz w:val="24"/>
          <w14:textFill>
            <w14:solidFill>
              <w14:schemeClr w14:val="tx1"/>
            </w14:solidFill>
          </w14:textFill>
        </w:rPr>
        <w:t>）</w:t>
      </w:r>
      <w:r>
        <w:rPr>
          <w:rFonts w:hint="eastAsia" w:ascii="宋体" w:hAnsi="宋体"/>
          <w:snapToGrid w:val="0"/>
          <w:color w:val="000000" w:themeColor="text1"/>
          <w:sz w:val="24"/>
          <w14:textFill>
            <w14:solidFill>
              <w14:schemeClr w14:val="tx1"/>
            </w14:solidFill>
          </w14:textFill>
        </w:rPr>
        <w:t>供应商协助甲方对相关网络安全制度进行修改调整和完善。</w:t>
      </w:r>
    </w:p>
    <w:p>
      <w:pPr>
        <w:snapToGrid w:val="0"/>
        <w:spacing w:line="360" w:lineRule="auto"/>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三</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、服务期</w:t>
      </w:r>
    </w:p>
    <w:p>
      <w:pPr>
        <w:snapToGrid w:val="0"/>
        <w:spacing w:line="360" w:lineRule="auto"/>
        <w:ind w:firstLine="420"/>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自合同签订之日</w:t>
      </w:r>
      <w:r>
        <w:rPr>
          <w:rFonts w:hint="eastAsia" w:ascii="宋体" w:hAnsi="宋体" w:cs="宋体"/>
          <w:color w:val="000000" w:themeColor="text1"/>
          <w:sz w:val="24"/>
          <w:szCs w:val="24"/>
          <w:highlight w:val="none"/>
          <w:u w:val="none"/>
          <w14:textFill>
            <w14:solidFill>
              <w14:schemeClr w14:val="tx1"/>
            </w14:solidFill>
          </w14:textFill>
        </w:rPr>
        <w:t>起</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个月内</w:t>
      </w:r>
      <w:r>
        <w:rPr>
          <w:rFonts w:hint="eastAsia" w:ascii="宋体" w:hAnsi="宋体" w:cs="宋体"/>
          <w:color w:val="000000" w:themeColor="text1"/>
          <w:sz w:val="24"/>
          <w:szCs w:val="24"/>
          <w:highlight w:val="none"/>
          <w:u w:val="none"/>
          <w14:textFill>
            <w14:solidFill>
              <w14:schemeClr w14:val="tx1"/>
            </w14:solidFill>
          </w14:textFill>
        </w:rPr>
        <w:t>完成测评并出具测评报告。</w:t>
      </w:r>
    </w:p>
    <w:p>
      <w:pPr>
        <w:snapToGrid w:val="0"/>
        <w:spacing w:line="360" w:lineRule="auto"/>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四</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、付款方式</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采购人收到成交供应商出具的网络安全等保测评报告，并在成交供应商提供合法发票后20日内支付总合价款的100%款项。</w:t>
      </w:r>
    </w:p>
    <w:p>
      <w:pPr>
        <w:snapToGrid w:val="0"/>
        <w:spacing w:line="360" w:lineRule="auto"/>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五</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、评选方法</w:t>
      </w:r>
    </w:p>
    <w:p>
      <w:pPr>
        <w:snapToGrid w:val="0"/>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最低价评审法。已入围评审的报价供应商，选择报价最低的成为成交供应商；未入围的报名供应商不参与评审。</w:t>
      </w:r>
    </w:p>
    <w:p>
      <w:pPr>
        <w:snapToGrid w:val="0"/>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如出现供应商报价相同的情况，在报价相同的供商中进行二次报价，选择报价最低的成为供应商。</w:t>
      </w:r>
    </w:p>
    <w:p>
      <w:pPr>
        <w:snapToGrid w:val="0"/>
        <w:spacing w:line="360" w:lineRule="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六、其他</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1、供应商必须对以上条款和服务承诺明确列出，承诺内容必须达到要求。</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2、其他未尽事宜由供需双方在采购合同中详细约定。</w:t>
      </w:r>
    </w:p>
    <w:p>
      <w:pPr>
        <w:snapToGrid w:val="0"/>
        <w:spacing w:line="360" w:lineRule="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bookmarkStart w:id="7" w:name="_GoBack"/>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七、供应商提交响应文件</w:t>
      </w:r>
    </w:p>
    <w:bookmarkEnd w:id="7"/>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1、供应商线上报名、报价时需上传盖章后的电子文档一份。</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2、采购人将以平台的线上资料作为评判依据。</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3、供应商制作的响应文件电子文档，须按照要求制作，规定签字、盖章的地方必须按其规定签字、盖章，未按要求制作响应文件的进行废标处理。</w:t>
      </w:r>
    </w:p>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spacing w:line="312" w:lineRule="auto"/>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供应商编制响应文件要求</w:t>
      </w:r>
    </w:p>
    <w:p>
      <w:pPr>
        <w:numPr>
          <w:ilvl w:val="0"/>
          <w:numId w:val="1"/>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报价</w:t>
      </w:r>
    </w:p>
    <w:p>
      <w:pPr>
        <w:tabs>
          <w:tab w:val="left" w:pos="6300"/>
        </w:tabs>
        <w:snapToGrid w:val="0"/>
        <w:spacing w:line="312"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（一）报价函</w:t>
      </w:r>
    </w:p>
    <w:p>
      <w:pPr>
        <w:tabs>
          <w:tab w:val="left" w:pos="6300"/>
        </w:tabs>
        <w:snapToGrid w:val="0"/>
        <w:spacing w:line="360" w:lineRule="auto"/>
        <w:jc w:val="center"/>
        <w:outlineLvl w:val="0"/>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报价函</w:t>
      </w:r>
    </w:p>
    <w:p>
      <w:pPr>
        <w:tabs>
          <w:tab w:val="left" w:pos="6300"/>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1、愿意按照询比采购文件中的一切要求，提供本项目的技术服务，报价为人民币</w:t>
      </w:r>
      <w:r>
        <w:rPr>
          <w:rFonts w:hint="eastAsia" w:ascii="宋体" w:hAnsi="宋体" w:cs="宋体"/>
          <w:color w:val="000000" w:themeColor="text1"/>
          <w:sz w:val="24"/>
          <w:szCs w:val="24"/>
          <w:u w:val="single"/>
          <w14:textFill>
            <w14:solidFill>
              <w14:schemeClr w14:val="tx1"/>
            </w14:solidFill>
          </w14:textFill>
        </w:rPr>
        <w:t>大写：     元整</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14:textFill>
            <w14:solidFill>
              <w14:schemeClr w14:val="tx1"/>
            </w14:solidFill>
          </w14:textFill>
        </w:rPr>
        <w:t>小写：    元</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2、我方现提交的响应文件为：响应文件电子文档壹份。</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3、我方承诺：本次询比的有效期为90天。</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文件的一切规定和要求及评审办法。</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过程中，我方若有违规行为，接受按照重庆市政府采购·云平台规定给予惩罚。</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我方理解，最低报价不是成交的唯一条件。</w:t>
      </w: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pPr>
        <w:tabs>
          <w:tab w:val="left" w:pos="2895"/>
        </w:tabs>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（二）明细报价表</w:t>
      </w:r>
    </w:p>
    <w:p>
      <w:pPr>
        <w:tabs>
          <w:tab w:val="left" w:pos="2975"/>
          <w:tab w:val="center" w:pos="4765"/>
        </w:tabs>
        <w:spacing w:line="312" w:lineRule="auto"/>
        <w:jc w:val="left"/>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ab/>
      </w:r>
      <w:r>
        <w:rPr>
          <w:rFonts w:hint="eastAsia" w:ascii="宋体" w:hAnsi="宋体" w:cs="宋体"/>
          <w:b/>
          <w:color w:val="000000" w:themeColor="text1"/>
          <w:szCs w:val="28"/>
          <w14:textFill>
            <w14:solidFill>
              <w14:schemeClr w14:val="tx1"/>
            </w14:solidFill>
          </w14:textFill>
        </w:rPr>
        <w:tab/>
      </w:r>
      <w:r>
        <w:rPr>
          <w:rFonts w:hint="eastAsia" w:ascii="宋体" w:hAnsi="宋体" w:cs="宋体"/>
          <w:b/>
          <w:color w:val="000000" w:themeColor="text1"/>
          <w:szCs w:val="28"/>
          <w14:textFill>
            <w14:solidFill>
              <w14:schemeClr w14:val="tx1"/>
            </w14:solidFill>
          </w14:textFill>
        </w:rPr>
        <w:t>明细报价表</w:t>
      </w:r>
    </w:p>
    <w:tbl>
      <w:tblPr>
        <w:tblStyle w:val="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695"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名称</w:t>
            </w:r>
          </w:p>
        </w:tc>
        <w:tc>
          <w:tcPr>
            <w:tcW w:w="3404"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相关信息</w:t>
            </w:r>
          </w:p>
        </w:tc>
        <w:tc>
          <w:tcPr>
            <w:tcW w:w="1344"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tc>
        <w:tc>
          <w:tcPr>
            <w:tcW w:w="1344"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单价</w:t>
            </w:r>
          </w:p>
        </w:tc>
        <w:tc>
          <w:tcPr>
            <w:tcW w:w="1344"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2111</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人工费</w:t>
            </w: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各种税费</w:t>
            </w: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其他费用</w:t>
            </w: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总计</w:t>
            </w:r>
          </w:p>
        </w:tc>
        <w:tc>
          <w:tcPr>
            <w:tcW w:w="7436" w:type="dxa"/>
            <w:gridSpan w:val="4"/>
          </w:tcPr>
          <w:p>
            <w:pPr>
              <w:rPr>
                <w:rFonts w:ascii="宋体" w:hAnsi="宋体" w:cs="宋体"/>
                <w:color w:val="000000" w:themeColor="text1"/>
                <w:sz w:val="21"/>
                <w:szCs w:val="21"/>
                <w14:textFill>
                  <w14:solidFill>
                    <w14:schemeClr w14:val="tx1"/>
                  </w14:solidFill>
                </w14:textFill>
              </w:rPr>
            </w:pPr>
          </w:p>
        </w:tc>
      </w:tr>
    </w:tbl>
    <w:p>
      <w:pPr>
        <w:snapToGrid w:val="0"/>
        <w:spacing w:line="312" w:lineRule="auto"/>
        <w:ind w:firstLine="480" w:firstLineChars="200"/>
        <w:rPr>
          <w:rFonts w:ascii="宋体" w:hAnsi="宋体" w:cs="宋体"/>
          <w:color w:val="000000" w:themeColor="text1"/>
          <w:sz w:val="24"/>
          <w:szCs w:val="28"/>
          <w14:textFill>
            <w14:solidFill>
              <w14:schemeClr w14:val="tx1"/>
            </w14:solidFill>
          </w14:textFill>
        </w:rPr>
      </w:pPr>
    </w:p>
    <w:p>
      <w:pPr>
        <w:snapToGrid w:val="0"/>
        <w:spacing w:line="312" w:lineRule="auto"/>
        <w:ind w:firstLine="480" w:firstLineChars="200"/>
        <w:rPr>
          <w:rFonts w:ascii="宋体" w:hAnsi="宋体" w:cs="宋体"/>
          <w:color w:val="000000" w:themeColor="text1"/>
          <w:sz w:val="24"/>
          <w:szCs w:val="28"/>
          <w14:textFill>
            <w14:solidFill>
              <w14:schemeClr w14:val="tx1"/>
            </w14:solidFill>
          </w14:textFill>
        </w:rPr>
      </w:pPr>
    </w:p>
    <w:p>
      <w:pPr>
        <w:snapToGrid w:val="0"/>
        <w:spacing w:line="312" w:lineRule="auto"/>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注：本表可根据项目实际情况调整，并逐页盖章。</w:t>
      </w:r>
    </w:p>
    <w:p>
      <w:pPr>
        <w:pStyle w:val="6"/>
        <w:spacing w:line="312" w:lineRule="auto"/>
        <w:ind w:firstLine="480"/>
        <w:rPr>
          <w:rFonts w:ascii="宋体" w:hAnsi="宋体" w:cs="宋体"/>
          <w:color w:val="000000" w:themeColor="text1"/>
          <w:sz w:val="24"/>
          <w:szCs w:val="24"/>
          <w14:textFill>
            <w14:solidFill>
              <w14:schemeClr w14:val="tx1"/>
            </w14:solidFill>
          </w14:textFill>
        </w:rPr>
      </w:pPr>
    </w:p>
    <w:p>
      <w:pPr>
        <w:pStyle w:val="6"/>
        <w:spacing w:line="312"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12" w:lineRule="auto"/>
        <w:rPr>
          <w:rFonts w:ascii="宋体" w:hAnsi="宋体" w:cs="宋体"/>
          <w:color w:val="000000" w:themeColor="text1"/>
          <w14:textFill>
            <w14:solidFill>
              <w14:schemeClr w14:val="tx1"/>
            </w14:solidFill>
          </w14:textFill>
        </w:rPr>
      </w:pPr>
    </w:p>
    <w:p>
      <w:pPr>
        <w:spacing w:line="312"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pacing w:line="312" w:lineRule="auto"/>
        <w:ind w:right="480" w:firstLine="6480" w:firstLineChars="2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pacing w:line="312" w:lineRule="auto"/>
        <w:ind w:firstLine="420"/>
        <w:rPr>
          <w:rFonts w:ascii="宋体" w:hAnsi="宋体" w:cs="宋体"/>
          <w:b/>
          <w:color w:val="000000" w:themeColor="text1"/>
          <w:szCs w:val="28"/>
          <w14:textFill>
            <w14:solidFill>
              <w14:schemeClr w14:val="tx1"/>
            </w14:solidFill>
          </w14:textFill>
        </w:rPr>
      </w:pPr>
    </w:p>
    <w:p>
      <w:pPr>
        <w:spacing w:line="312" w:lineRule="auto"/>
        <w:rPr>
          <w:rFonts w:ascii="宋体" w:hAnsi="宋体" w:cs="宋体"/>
          <w:b/>
          <w:color w:val="000000" w:themeColor="text1"/>
          <w:szCs w:val="28"/>
          <w14:textFill>
            <w14:solidFill>
              <w14:schemeClr w14:val="tx1"/>
            </w14:solidFill>
          </w14:textFill>
        </w:rPr>
      </w:pPr>
    </w:p>
    <w:p>
      <w:pPr>
        <w:spacing w:line="312" w:lineRule="auto"/>
        <w:rPr>
          <w:rFonts w:ascii="宋体" w:hAnsi="宋体" w:cs="宋体"/>
          <w:b/>
          <w:color w:val="000000" w:themeColor="text1"/>
          <w:szCs w:val="28"/>
          <w14:textFill>
            <w14:solidFill>
              <w14:schemeClr w14:val="tx1"/>
            </w14:solidFill>
          </w14:textFill>
        </w:rPr>
      </w:pPr>
    </w:p>
    <w:p>
      <w:pPr>
        <w:spacing w:line="312" w:lineRule="auto"/>
        <w:ind w:firstLine="480" w:firstLineChars="200"/>
        <w:rPr>
          <w:rFonts w:ascii="宋体" w:hAnsi="宋体" w:cs="宋体"/>
          <w:color w:val="000000" w:themeColor="text1"/>
          <w:sz w:val="24"/>
          <w:szCs w:val="24"/>
          <w14:textFill>
            <w14:solidFill>
              <w14:schemeClr w14:val="tx1"/>
            </w14:solidFill>
          </w14:textFill>
        </w:rPr>
      </w:pPr>
    </w:p>
    <w:p>
      <w:pPr>
        <w:spacing w:line="312" w:lineRule="auto"/>
        <w:ind w:firstLine="480" w:firstLineChars="200"/>
        <w:rPr>
          <w:rFonts w:ascii="宋体" w:hAnsi="宋体" w:cs="宋体"/>
          <w:color w:val="000000" w:themeColor="text1"/>
          <w:sz w:val="24"/>
          <w:szCs w:val="24"/>
          <w14:textFill>
            <w14:solidFill>
              <w14:schemeClr w14:val="tx1"/>
            </w14:solidFill>
          </w14:textFill>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numPr>
          <w:ilvl w:val="0"/>
          <w:numId w:val="1"/>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服务方案</w:t>
      </w:r>
    </w:p>
    <w:p>
      <w:pPr>
        <w:spacing w:line="312" w:lineRule="auto"/>
        <w:jc w:val="center"/>
        <w:rPr>
          <w:rFonts w:ascii="宋体" w:hAnsi="宋体" w:cs="宋体"/>
          <w:b/>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服务方案（格式自定）</w:t>
      </w:r>
    </w:p>
    <w:p>
      <w:pPr>
        <w:spacing w:line="312" w:lineRule="auto"/>
        <w:rPr>
          <w:rFonts w:ascii="宋体" w:hAnsi="宋体" w:cs="宋体"/>
          <w:b/>
          <w:color w:val="000000" w:themeColor="text1"/>
          <w:sz w:val="24"/>
          <w:szCs w:val="24"/>
          <w14:textFill>
            <w14:solidFill>
              <w14:schemeClr w14:val="tx1"/>
            </w14:solidFill>
          </w14:textFill>
        </w:rPr>
      </w:pPr>
    </w:p>
    <w:p>
      <w:pPr>
        <w:pStyle w:val="2"/>
        <w:spacing w:before="0" w:after="0" w:line="360" w:lineRule="auto"/>
        <w:jc w:val="left"/>
        <w:rPr>
          <w:rFonts w:ascii="宋体" w:hAnsi="宋体" w:cs="宋体"/>
          <w:color w:val="000000" w:themeColor="text1"/>
          <w:sz w:val="24"/>
          <w:szCs w:val="24"/>
          <w14:textFill>
            <w14:solidFill>
              <w14:schemeClr w14:val="tx1"/>
            </w14:solidFill>
          </w14:textFill>
        </w:rPr>
      </w:pPr>
    </w:p>
    <w:p>
      <w:pPr>
        <w:pStyle w:val="2"/>
        <w:numPr>
          <w:ilvl w:val="0"/>
          <w:numId w:val="1"/>
        </w:numPr>
        <w:spacing w:before="0" w:after="0"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资格条件及其他</w:t>
      </w: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color w:val="000000" w:themeColor="text1"/>
          <w14:textFill>
            <w14:solidFill>
              <w14:schemeClr w14:val="tx1"/>
            </w14:solidFill>
          </w14:textFill>
        </w:rPr>
      </w:pPr>
    </w:p>
    <w:p>
      <w:pPr>
        <w:pStyle w:val="2"/>
        <w:spacing w:before="0" w:after="0" w:line="312" w:lineRule="auto"/>
        <w:rPr>
          <w:rFonts w:ascii="宋体" w:hAnsi="宋体" w:cs="宋体"/>
          <w:color w:val="000000" w:themeColor="text1"/>
          <w:sz w:val="24"/>
          <w:szCs w:val="24"/>
          <w14:textFill>
            <w14:solidFill>
              <w14:schemeClr w14:val="tx1"/>
            </w14:solidFill>
          </w14:textFill>
        </w:rPr>
      </w:pPr>
    </w:p>
    <w:p>
      <w:pPr>
        <w:pStyle w:val="2"/>
        <w:spacing w:before="0" w:after="0" w:line="312"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四、其</w:t>
      </w:r>
      <w:r>
        <w:rPr>
          <w:rFonts w:hint="eastAsia" w:ascii="宋体" w:hAnsi="宋体" w:cs="宋体"/>
          <w:color w:val="000000" w:themeColor="text1"/>
          <w:sz w:val="28"/>
          <w:szCs w:val="28"/>
          <w14:textFill>
            <w14:solidFill>
              <w14:schemeClr w14:val="tx1"/>
            </w14:solidFill>
          </w14:textFill>
        </w:rPr>
        <w:t>他应提供的资料</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（一）其他资料</w:t>
      </w:r>
    </w:p>
    <w:p>
      <w:pPr>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1、其他与项目有关的资料（自附）：供应商总体情况介绍、其他与本项目有关的资料等。</w:t>
      </w:r>
    </w:p>
    <w:p>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p>
    <w:p>
      <w:pP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w:t>
      </w:r>
      <w:bookmarkEnd w:id="0"/>
      <w:bookmarkEnd w:id="1"/>
      <w:bookmarkEnd w:id="2"/>
      <w:bookmarkEnd w:id="3"/>
      <w:bookmarkEnd w:id="4"/>
      <w:r>
        <w:rPr>
          <w:rFonts w:hint="eastAsia" w:ascii="宋体" w:hAnsi="宋体" w:cs="宋体"/>
          <w:b/>
          <w:bCs/>
          <w:color w:val="000000" w:themeColor="text1"/>
          <w:sz w:val="24"/>
          <w:szCs w:val="24"/>
          <w14:textFill>
            <w14:solidFill>
              <w14:schemeClr w14:val="tx1"/>
            </w14:solidFill>
          </w14:textFill>
        </w:rPr>
        <w:t>法定代表人授权委托书（格式）/法定代表人（格式）（二选一）</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法定代表人授权委托书</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（供应商名称）的法定代表人，特授权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（被授权人姓名及身份证代码）电话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我单位对被授权人的签字负全部责任。</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                                 法定代表人：</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（签字或盖章）                             （签字或盖章）</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（附：被授权人身份证正反面复印件）</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法定代表人证明</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（法定代表人名称及身份证代码）是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法定代表人（签字或盖章）：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36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（附：法定代表人身份证正反面复印件）</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center"/>
      </w:pPr>
      <w:r>
        <w:rPr>
          <w:rFonts w:hint="eastAsia" w:ascii="宋体" w:hAnsi="宋体" w:cs="宋体"/>
          <w:color w:val="000000" w:themeColor="text1"/>
          <w:sz w:val="24"/>
          <w:szCs w:val="24"/>
          <w14:textFill>
            <w14:solidFill>
              <w14:schemeClr w14:val="tx1"/>
            </w14:solidFill>
          </w14:textFill>
        </w:rPr>
        <w:t>（结束）</w:t>
      </w:r>
    </w:p>
    <w:sectPr>
      <w:pgSz w:w="11907" w:h="16840"/>
      <w:pgMar w:top="1418" w:right="1418" w:bottom="1418" w:left="1418" w:header="851" w:footer="992" w:gutter="0"/>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Nf0jIAQAgAAEAQAAA4AAAAAAAAAAQAg&#10;AAAAIQEAAGRycy9lMm9Eb2MueG1sUEsFBgAAAAAGAAYAWQEAAKMFA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Fjx2YgQAgAAEAQAAA4AAAAAAAAAAQAg&#10;AAAAIQEAAGRycy9lMm9Eb2MueG1sUEsFBgAAAAAGAAYAWQEAAKMFA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WIzNDBhOGFkZDgxMmFhOGUyZWE3YjgzYzAzMTQifQ=="/>
  </w:docVars>
  <w:rsids>
    <w:rsidRoot w:val="34B163C6"/>
    <w:rsid w:val="34B1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line="180" w:lineRule="auto"/>
      <w:jc w:val="center"/>
    </w:pPr>
    <w:rPr>
      <w:sz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2022-06-28T03:40:00Z</dcterms:created>
  <dc:creator>lenovo</dc:creator>
  <cp:lastModifiedBy>lenovo</cp:lastModifiedBy>
  <dcterms:modified xsi:type="dcterms:W3CDTF">2022-06-28T03:49:23Z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49B3F883F7414C7B81A246FBEE0FF844</vt:lpwstr>
  </property>
</Properties>
</file>