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rPr>
          <w:rFonts w:ascii="方正黑体_GBK" w:eastAsia="方正黑体_GBK"/>
          <w:sz w:val="100"/>
          <w:szCs w:val="100"/>
        </w:rPr>
      </w:pPr>
      <w:bookmarkStart w:id="0" w:name="_Toc32329055"/>
    </w:p>
    <w:bookmarkEnd w:id="0"/>
    <w:p>
      <w:pPr>
        <w:spacing w:line="1600" w:lineRule="exact"/>
        <w:jc w:val="center"/>
        <w:rPr>
          <w:rFonts w:ascii="方正黑体_GBK" w:eastAsia="方正黑体_GBK"/>
          <w:sz w:val="100"/>
          <w:szCs w:val="100"/>
        </w:rPr>
      </w:pPr>
    </w:p>
    <w:p>
      <w:pPr>
        <w:spacing w:line="1600" w:lineRule="exact"/>
        <w:jc w:val="center"/>
        <w:rPr>
          <w:rFonts w:ascii="方正黑体_GBK" w:eastAsia="方正黑体_GBK" w:cs="方正大黑体_GBK"/>
          <w:sz w:val="130"/>
          <w:szCs w:val="130"/>
        </w:rPr>
      </w:pPr>
      <w:bookmarkStart w:id="1" w:name="_Toc32329056"/>
      <w:r>
        <w:rPr>
          <w:rFonts w:hint="eastAsia" w:ascii="方正黑体_GBK" w:eastAsia="方正黑体_GBK"/>
          <w:sz w:val="130"/>
          <w:szCs w:val="130"/>
        </w:rPr>
        <w:t>竞争性磋商</w:t>
      </w:r>
      <w:bookmarkEnd w:id="1"/>
    </w:p>
    <w:p>
      <w:pPr>
        <w:spacing w:line="1600" w:lineRule="exact"/>
        <w:jc w:val="center"/>
        <w:rPr>
          <w:rFonts w:ascii="方正黑体_GBK" w:eastAsia="方正黑体_GBK"/>
          <w:sz w:val="130"/>
          <w:szCs w:val="130"/>
        </w:rPr>
      </w:pPr>
      <w:bookmarkStart w:id="2" w:name="_Toc32329057"/>
      <w:r>
        <w:rPr>
          <w:rFonts w:hint="eastAsia" w:ascii="方正黑体_GBK" w:eastAsia="方正黑体_GBK"/>
          <w:sz w:val="130"/>
          <w:szCs w:val="130"/>
        </w:rPr>
        <w:t>文件</w:t>
      </w:r>
      <w:bookmarkEnd w:id="2"/>
    </w:p>
    <w:p/>
    <w:p>
      <w:pPr>
        <w:pStyle w:val="24"/>
        <w:spacing w:line="500" w:lineRule="exact"/>
        <w:ind w:left="0"/>
        <w:jc w:val="center"/>
        <w:rPr>
          <w:rFonts w:ascii="方正仿宋_GBK" w:eastAsia="方正仿宋_GBK"/>
          <w:b/>
          <w:sz w:val="32"/>
        </w:rPr>
      </w:pPr>
    </w:p>
    <w:p>
      <w:pPr>
        <w:pStyle w:val="24"/>
        <w:spacing w:line="500" w:lineRule="exact"/>
        <w:ind w:left="0"/>
        <w:rPr>
          <w:rFonts w:ascii="方正仿宋_GBK" w:eastAsia="方正仿宋_GBK"/>
          <w:b/>
          <w:sz w:val="32"/>
        </w:rPr>
      </w:pPr>
    </w:p>
    <w:p>
      <w:pPr>
        <w:snapToGrid w:val="0"/>
        <w:spacing w:line="480" w:lineRule="exact"/>
        <w:rPr>
          <w:rFonts w:ascii="方正小标宋_GBK" w:eastAsia="方正小标宋_GBK"/>
          <w:sz w:val="36"/>
          <w:szCs w:val="36"/>
        </w:rPr>
      </w:pPr>
    </w:p>
    <w:p>
      <w:pPr>
        <w:snapToGrid w:val="0"/>
        <w:spacing w:line="480" w:lineRule="exact"/>
        <w:ind w:left="1800" w:hanging="1800" w:hangingChars="500"/>
        <w:rPr>
          <w:rFonts w:ascii="方正小标宋_GBK" w:eastAsia="方正小标宋_GBK"/>
          <w:sz w:val="36"/>
          <w:szCs w:val="36"/>
        </w:rPr>
      </w:pPr>
      <w:r>
        <w:rPr>
          <w:rFonts w:hint="eastAsia" w:ascii="方正小标宋_GBK" w:eastAsia="方正小标宋_GBK"/>
          <w:sz w:val="36"/>
          <w:szCs w:val="36"/>
        </w:rPr>
        <w:t>项目名称：江津区2022年石蟆镇杨柳村片区丘陵山区高标准农田改造提升示范项目材料供应商采购</w:t>
      </w:r>
    </w:p>
    <w:p>
      <w:pPr>
        <w:snapToGrid w:val="0"/>
        <w:spacing w:line="480" w:lineRule="exact"/>
        <w:rPr>
          <w:rFonts w:ascii="方正小标宋_GBK" w:eastAsia="方正小标宋_GBK"/>
          <w:sz w:val="36"/>
          <w:szCs w:val="36"/>
        </w:rPr>
      </w:pPr>
    </w:p>
    <w:p>
      <w:pPr>
        <w:snapToGrid w:val="0"/>
        <w:spacing w:line="480" w:lineRule="exact"/>
        <w:rPr>
          <w:rFonts w:ascii="方正小标宋_GBK" w:eastAsia="方正小标宋_GBK"/>
          <w:sz w:val="36"/>
          <w:szCs w:val="36"/>
        </w:rPr>
      </w:pPr>
    </w:p>
    <w:p>
      <w:pPr>
        <w:snapToGrid w:val="0"/>
        <w:spacing w:line="480" w:lineRule="exact"/>
        <w:rPr>
          <w:rFonts w:ascii="方正小标宋_GBK" w:eastAsia="方正小标宋_GBK"/>
          <w:sz w:val="36"/>
          <w:szCs w:val="36"/>
        </w:rPr>
      </w:pPr>
      <w:r>
        <w:rPr>
          <w:rFonts w:hint="eastAsia" w:ascii="方正小标宋_GBK" w:eastAsia="方正小标宋_GBK"/>
          <w:sz w:val="36"/>
          <w:szCs w:val="36"/>
        </w:rPr>
        <w:t>采   购  人：重庆市江津区电力建筑安装工程有限责任公司</w:t>
      </w:r>
    </w:p>
    <w:p>
      <w:pPr>
        <w:snapToGrid w:val="0"/>
        <w:spacing w:line="480" w:lineRule="exact"/>
        <w:rPr>
          <w:rFonts w:hint="eastAsia" w:ascii="方正小标宋_GBK" w:eastAsia="方正小标宋_GBK"/>
          <w:sz w:val="36"/>
          <w:szCs w:val="36"/>
        </w:rPr>
      </w:pPr>
      <w:r>
        <w:rPr>
          <w:rFonts w:hint="eastAsia" w:ascii="方正小标宋_GBK" w:eastAsia="方正小标宋_GBK"/>
          <w:sz w:val="36"/>
          <w:szCs w:val="36"/>
        </w:rPr>
        <w:t>采购代理机构：</w:t>
      </w:r>
      <w:r>
        <w:rPr>
          <w:rFonts w:hint="eastAsia" w:ascii="方正小标宋_GBK" w:eastAsia="方正小标宋_GBK"/>
          <w:sz w:val="36"/>
          <w:szCs w:val="36"/>
          <w:lang w:eastAsia="zh-CN"/>
        </w:rPr>
        <w:t>重庆恒昕工程技术咨询有限公司</w:t>
      </w:r>
    </w:p>
    <w:p>
      <w:pPr>
        <w:spacing w:line="480" w:lineRule="exact"/>
        <w:jc w:val="center"/>
        <w:rPr>
          <w:rFonts w:ascii="方正小标宋_GBK" w:eastAsia="方正小标宋_GBK"/>
          <w:sz w:val="36"/>
          <w:szCs w:val="36"/>
        </w:rPr>
      </w:pPr>
      <w:bookmarkStart w:id="3" w:name="_Toc32329058"/>
    </w:p>
    <w:p>
      <w:pPr>
        <w:spacing w:line="480" w:lineRule="exact"/>
        <w:jc w:val="center"/>
        <w:rPr>
          <w:rFonts w:ascii="方正小标宋_GBK" w:eastAsia="方正小标宋_GBK"/>
          <w:sz w:val="36"/>
          <w:szCs w:val="36"/>
        </w:rPr>
      </w:pPr>
    </w:p>
    <w:p>
      <w:pPr>
        <w:spacing w:line="480" w:lineRule="exact"/>
        <w:jc w:val="center"/>
        <w:rPr>
          <w:rFonts w:ascii="方正小标宋_GBK" w:eastAsia="方正小标宋_GBK"/>
          <w:sz w:val="36"/>
          <w:szCs w:val="36"/>
        </w:rPr>
      </w:pPr>
    </w:p>
    <w:p>
      <w:pPr>
        <w:spacing w:line="480" w:lineRule="exact"/>
        <w:jc w:val="center"/>
        <w:rPr>
          <w:rFonts w:ascii="方正小标宋_GBK" w:eastAsia="方正小标宋_GBK"/>
          <w:sz w:val="36"/>
          <w:szCs w:val="36"/>
        </w:rPr>
      </w:pPr>
      <w:r>
        <w:rPr>
          <w:rFonts w:hint="eastAsia" w:ascii="方正小标宋_GBK" w:eastAsia="方正小标宋_GBK"/>
          <w:sz w:val="36"/>
          <w:szCs w:val="36"/>
          <w:lang w:val="en-US" w:eastAsia="zh-CN"/>
        </w:rPr>
        <w:t>2022</w:t>
      </w:r>
      <w:r>
        <w:rPr>
          <w:rFonts w:hint="eastAsia" w:ascii="方正小标宋_GBK" w:eastAsia="方正小标宋_GBK"/>
          <w:sz w:val="36"/>
          <w:szCs w:val="36"/>
        </w:rPr>
        <w:t>年</w:t>
      </w:r>
      <w:r>
        <w:rPr>
          <w:rFonts w:hint="eastAsia" w:ascii="方正小标宋_GBK" w:eastAsia="方正小标宋_GBK"/>
          <w:sz w:val="36"/>
          <w:szCs w:val="36"/>
          <w:lang w:val="en-US" w:eastAsia="zh-CN"/>
        </w:rPr>
        <w:t>11</w:t>
      </w:r>
      <w:r>
        <w:rPr>
          <w:rFonts w:hint="eastAsia" w:ascii="方正小标宋_GBK" w:eastAsia="方正小标宋_GBK"/>
          <w:sz w:val="36"/>
          <w:szCs w:val="36"/>
        </w:rPr>
        <w:t>月</w:t>
      </w:r>
      <w:bookmarkEnd w:id="3"/>
    </w:p>
    <w:p>
      <w:pPr>
        <w:snapToGrid w:val="0"/>
        <w:spacing w:line="500" w:lineRule="exact"/>
        <w:jc w:val="center"/>
        <w:rPr>
          <w:rFonts w:ascii="方正仿宋_GBK"/>
          <w:b/>
          <w:sz w:val="44"/>
        </w:rPr>
        <w:sectPr>
          <w:headerReference r:id="rId7" w:type="first"/>
          <w:headerReference r:id="rId5" w:type="default"/>
          <w:footerReference r:id="rId8" w:type="default"/>
          <w:headerReference r:id="rId6" w:type="even"/>
          <w:footerReference r:id="rId9" w:type="even"/>
          <w:pgSz w:w="11907" w:h="16840"/>
          <w:pgMar w:top="1134" w:right="1191" w:bottom="1134" w:left="1304" w:header="964" w:footer="992" w:gutter="0"/>
          <w:pgNumType w:start="1"/>
          <w:cols w:space="720" w:num="1"/>
          <w:titlePg/>
          <w:docGrid w:linePitch="380" w:charSpace="0"/>
        </w:sectPr>
      </w:pPr>
    </w:p>
    <w:p>
      <w:pPr>
        <w:spacing w:line="480" w:lineRule="auto"/>
        <w:jc w:val="center"/>
        <w:rPr>
          <w:rFonts w:ascii="方正仿宋_GBK"/>
          <w:sz w:val="44"/>
          <w:szCs w:val="28"/>
        </w:rPr>
      </w:pPr>
      <w:bookmarkStart w:id="4" w:name="_Toc32329112"/>
      <w:bookmarkStart w:id="5" w:name="_Toc32329059"/>
      <w:r>
        <w:rPr>
          <w:rFonts w:hint="eastAsia" w:ascii="方正仿宋_GBK"/>
          <w:sz w:val="44"/>
          <w:szCs w:val="28"/>
        </w:rPr>
        <w:t>目   录</w:t>
      </w:r>
      <w:bookmarkEnd w:id="4"/>
      <w:bookmarkEnd w:id="5"/>
    </w:p>
    <w:p>
      <w:pPr>
        <w:pStyle w:val="46"/>
        <w:tabs>
          <w:tab w:val="right" w:leader="dot" w:pos="9412"/>
        </w:tabs>
        <w:spacing w:line="480" w:lineRule="auto"/>
        <w:ind w:left="480"/>
        <w:rPr>
          <w:rFonts w:ascii="方正仿宋_GBK"/>
        </w:rPr>
      </w:pPr>
      <w:r>
        <w:rPr>
          <w:rFonts w:hint="eastAsia" w:ascii="方正仿宋_GBK"/>
        </w:rPr>
        <w:t>第一篇  采购邀请书</w:t>
      </w:r>
    </w:p>
    <w:p>
      <w:pPr>
        <w:pStyle w:val="46"/>
        <w:tabs>
          <w:tab w:val="right" w:leader="dot" w:pos="9412"/>
        </w:tabs>
        <w:spacing w:line="480" w:lineRule="auto"/>
        <w:ind w:left="480"/>
        <w:rPr>
          <w:rFonts w:ascii="方正仿宋_GBK"/>
        </w:rPr>
      </w:pPr>
      <w:r>
        <w:rPr>
          <w:rFonts w:hint="eastAsia" w:ascii="方正仿宋_GBK"/>
        </w:rPr>
        <w:t>第二篇 采购项目内容及要求</w:t>
      </w:r>
    </w:p>
    <w:p>
      <w:pPr>
        <w:pStyle w:val="46"/>
        <w:tabs>
          <w:tab w:val="right" w:leader="dot" w:pos="9412"/>
        </w:tabs>
        <w:spacing w:line="480" w:lineRule="auto"/>
        <w:ind w:left="480"/>
        <w:rPr>
          <w:rFonts w:ascii="方正仿宋_GBK"/>
        </w:rPr>
      </w:pPr>
      <w:r>
        <w:rPr>
          <w:rFonts w:hint="eastAsia" w:ascii="方正仿宋_GBK"/>
        </w:rPr>
        <w:t>第三篇  项目商务要求</w:t>
      </w:r>
    </w:p>
    <w:p>
      <w:pPr>
        <w:spacing w:line="480" w:lineRule="auto"/>
        <w:ind w:firstLine="480" w:firstLineChars="200"/>
        <w:rPr>
          <w:rFonts w:ascii="方正仿宋_GBK"/>
        </w:rPr>
      </w:pPr>
      <w:r>
        <w:rPr>
          <w:rFonts w:hint="eastAsia" w:ascii="方正仿宋_GBK"/>
        </w:rPr>
        <w:t>第四篇  磋商程序、评审办法和评审标准</w:t>
      </w:r>
    </w:p>
    <w:p>
      <w:pPr>
        <w:spacing w:line="480" w:lineRule="auto"/>
        <w:ind w:firstLine="480" w:firstLineChars="200"/>
        <w:rPr>
          <w:rFonts w:ascii="方正仿宋_GBK"/>
        </w:rPr>
      </w:pPr>
      <w:r>
        <w:rPr>
          <w:rFonts w:hint="eastAsia" w:ascii="方正仿宋_GBK"/>
        </w:rPr>
        <w:t>第五篇  供应商须知</w:t>
      </w:r>
    </w:p>
    <w:p>
      <w:pPr>
        <w:spacing w:line="480" w:lineRule="auto"/>
        <w:ind w:firstLine="480" w:firstLineChars="200"/>
        <w:rPr>
          <w:rFonts w:ascii="方正仿宋_GBK"/>
        </w:rPr>
      </w:pPr>
      <w:r>
        <w:rPr>
          <w:rFonts w:hint="eastAsia" w:ascii="方正仿宋_GBK"/>
        </w:rPr>
        <w:t>第六篇  响应文件编制要求</w:t>
      </w:r>
    </w:p>
    <w:p>
      <w:pPr>
        <w:pStyle w:val="46"/>
        <w:tabs>
          <w:tab w:val="right" w:leader="dot" w:pos="9412"/>
        </w:tabs>
        <w:ind w:left="480"/>
      </w:pPr>
    </w:p>
    <w:p>
      <w:pPr>
        <w:pStyle w:val="46"/>
        <w:tabs>
          <w:tab w:val="right" w:leader="dot" w:pos="9412"/>
        </w:tabs>
        <w:ind w:left="480"/>
      </w:pPr>
    </w:p>
    <w:p>
      <w:pPr>
        <w:pStyle w:val="46"/>
        <w:tabs>
          <w:tab w:val="right" w:leader="dot" w:pos="9412"/>
        </w:tabs>
        <w:ind w:left="480"/>
        <w:sectPr>
          <w:pgSz w:w="11907" w:h="16840"/>
          <w:pgMar w:top="1134" w:right="1191" w:bottom="1134" w:left="1304" w:header="964" w:footer="992" w:gutter="0"/>
          <w:pgNumType w:fmt="numberInDash" w:start="1"/>
          <w:cols w:space="720" w:num="1"/>
          <w:docGrid w:linePitch="380" w:charSpace="0"/>
        </w:sectPr>
      </w:pPr>
    </w:p>
    <w:p>
      <w:pPr>
        <w:pStyle w:val="3"/>
        <w:rPr>
          <w:bCs/>
        </w:rPr>
      </w:pPr>
      <w:bookmarkStart w:id="6" w:name="_Toc32329201"/>
      <w:bookmarkStart w:id="7" w:name="_Toc36064028"/>
      <w:bookmarkStart w:id="8" w:name="_Toc36063992"/>
      <w:bookmarkStart w:id="9" w:name="_Toc32329060"/>
      <w:bookmarkStart w:id="10" w:name="_Toc36064064"/>
      <w:bookmarkStart w:id="11" w:name="_Toc493506277"/>
      <w:bookmarkStart w:id="12" w:name="_Toc32329159"/>
      <w:bookmarkStart w:id="13" w:name="_Toc32329113"/>
      <w:r>
        <w:rPr>
          <w:bCs/>
        </w:rPr>
        <w:t xml:space="preserve">第一篇  </w:t>
      </w:r>
      <w:bookmarkEnd w:id="6"/>
      <w:bookmarkEnd w:id="7"/>
      <w:bookmarkEnd w:id="8"/>
      <w:bookmarkEnd w:id="9"/>
      <w:bookmarkEnd w:id="10"/>
      <w:bookmarkEnd w:id="11"/>
      <w:bookmarkEnd w:id="12"/>
      <w:bookmarkEnd w:id="13"/>
      <w:r>
        <w:rPr>
          <w:rFonts w:hint="eastAsia"/>
          <w:bCs/>
        </w:rPr>
        <w:t>采购邀请书</w:t>
      </w:r>
    </w:p>
    <w:p>
      <w:pPr>
        <w:ind w:firstLine="480" w:firstLineChars="200"/>
      </w:pPr>
      <w:bookmarkStart w:id="14" w:name="_Toc493506280"/>
      <w:r>
        <w:rPr>
          <w:rFonts w:hint="eastAsia"/>
          <w:u w:val="single"/>
          <w:lang w:eastAsia="zh-CN"/>
        </w:rPr>
        <w:t>重庆恒昕工程技术咨询有限公司</w:t>
      </w:r>
      <w:r>
        <w:t>受</w:t>
      </w:r>
      <w:r>
        <w:rPr>
          <w:rFonts w:hint="eastAsia"/>
          <w:u w:val="single"/>
        </w:rPr>
        <w:t>重庆市江津区电力建筑安装工程有限责任公司</w:t>
      </w:r>
      <w:r>
        <w:t>的委托，对</w:t>
      </w:r>
      <w:r>
        <w:rPr>
          <w:rFonts w:hint="eastAsia"/>
          <w:u w:val="single"/>
        </w:rPr>
        <w:t>江津区2022年石蟆镇杨柳村片区丘陵山区高标准农田改造提升示范项目材料供应商采购</w:t>
      </w:r>
      <w:r>
        <w:t>以竞争性磋商方式实行采购，欢迎有资格的</w:t>
      </w:r>
      <w:r>
        <w:rPr>
          <w:rFonts w:hint="eastAsia"/>
        </w:rPr>
        <w:t>供应商</w:t>
      </w:r>
      <w:r>
        <w:t>前来参与磋商。</w:t>
      </w:r>
    </w:p>
    <w:p>
      <w:pPr>
        <w:pStyle w:val="4"/>
        <w:ind w:firstLine="480"/>
      </w:pPr>
      <w:bookmarkStart w:id="15" w:name="_Toc36063993"/>
      <w:bookmarkStart w:id="16" w:name="_Toc32329160"/>
      <w:bookmarkStart w:id="17" w:name="_Toc32329114"/>
      <w:bookmarkStart w:id="18" w:name="_Toc32329061"/>
      <w:bookmarkStart w:id="19" w:name="_Toc317775175"/>
      <w:bookmarkStart w:id="20" w:name="_Toc36064065"/>
      <w:bookmarkStart w:id="21" w:name="_Toc32329202"/>
      <w:bookmarkStart w:id="22" w:name="_Toc313893526"/>
      <w:bookmarkStart w:id="23" w:name="_Toc36064029"/>
      <w:r>
        <w:t>一、竞争性磋商内容</w:t>
      </w:r>
      <w:bookmarkEnd w:id="15"/>
      <w:bookmarkEnd w:id="16"/>
      <w:bookmarkEnd w:id="17"/>
      <w:bookmarkEnd w:id="18"/>
      <w:bookmarkEnd w:id="19"/>
      <w:bookmarkEnd w:id="20"/>
      <w:bookmarkEnd w:id="21"/>
      <w:bookmarkEnd w:id="22"/>
      <w:bookmarkEnd w:id="23"/>
    </w:p>
    <w:tbl>
      <w:tblPr>
        <w:tblStyle w:val="59"/>
        <w:tblpPr w:leftFromText="180" w:rightFromText="180" w:vertAnchor="text" w:horzAnchor="page" w:tblpX="1554" w:tblpY="330"/>
        <w:tblOverlap w:val="never"/>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413"/>
        <w:gridCol w:w="1387"/>
        <w:gridCol w:w="1487"/>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5" w:type="dxa"/>
            <w:vAlign w:val="center"/>
          </w:tcPr>
          <w:p>
            <w:pPr>
              <w:spacing w:line="280" w:lineRule="exact"/>
              <w:jc w:val="center"/>
              <w:rPr>
                <w:b/>
                <w:bCs/>
                <w:sz w:val="21"/>
                <w:szCs w:val="21"/>
              </w:rPr>
            </w:pPr>
            <w:bookmarkStart w:id="24" w:name="_Toc36063994"/>
            <w:bookmarkStart w:id="25" w:name="_Toc32329161"/>
            <w:bookmarkStart w:id="26" w:name="_Toc36064066"/>
            <w:bookmarkStart w:id="27" w:name="_Toc36064030"/>
            <w:bookmarkStart w:id="28" w:name="_Toc32329115"/>
            <w:bookmarkStart w:id="29" w:name="_Toc32329203"/>
            <w:bookmarkStart w:id="30" w:name="_Toc32329062"/>
            <w:r>
              <w:rPr>
                <w:b/>
                <w:bCs/>
                <w:sz w:val="21"/>
                <w:szCs w:val="21"/>
              </w:rPr>
              <w:t>项目名称</w:t>
            </w:r>
          </w:p>
        </w:tc>
        <w:tc>
          <w:tcPr>
            <w:tcW w:w="1413" w:type="dxa"/>
            <w:vAlign w:val="center"/>
          </w:tcPr>
          <w:p>
            <w:pPr>
              <w:spacing w:line="280" w:lineRule="exact"/>
              <w:jc w:val="center"/>
              <w:rPr>
                <w:b/>
                <w:bCs/>
                <w:sz w:val="21"/>
                <w:szCs w:val="21"/>
              </w:rPr>
            </w:pPr>
            <w:r>
              <w:rPr>
                <w:b/>
                <w:bCs/>
                <w:sz w:val="21"/>
                <w:szCs w:val="21"/>
              </w:rPr>
              <w:t>最高限价</w:t>
            </w:r>
          </w:p>
          <w:p>
            <w:pPr>
              <w:spacing w:line="280" w:lineRule="exact"/>
              <w:jc w:val="center"/>
              <w:rPr>
                <w:b/>
                <w:bCs/>
                <w:sz w:val="21"/>
                <w:szCs w:val="21"/>
              </w:rPr>
            </w:pPr>
            <w:r>
              <w:rPr>
                <w:b/>
                <w:bCs/>
                <w:sz w:val="21"/>
                <w:szCs w:val="21"/>
              </w:rPr>
              <w:t>（万元）</w:t>
            </w:r>
          </w:p>
        </w:tc>
        <w:tc>
          <w:tcPr>
            <w:tcW w:w="1387" w:type="dxa"/>
            <w:vAlign w:val="center"/>
          </w:tcPr>
          <w:p>
            <w:pPr>
              <w:spacing w:line="280" w:lineRule="exact"/>
              <w:jc w:val="center"/>
              <w:rPr>
                <w:rFonts w:hint="eastAsia" w:eastAsia="方正仿宋_GBK"/>
                <w:b/>
                <w:bCs/>
                <w:sz w:val="21"/>
                <w:szCs w:val="21"/>
                <w:lang w:eastAsia="zh-CN"/>
              </w:rPr>
            </w:pPr>
            <w:r>
              <w:rPr>
                <w:rFonts w:hint="eastAsia"/>
                <w:b/>
                <w:bCs/>
                <w:sz w:val="21"/>
                <w:szCs w:val="21"/>
                <w:lang w:eastAsia="zh-CN"/>
              </w:rPr>
              <w:t>投标保证金</w:t>
            </w:r>
          </w:p>
          <w:p>
            <w:pPr>
              <w:spacing w:line="280" w:lineRule="exact"/>
              <w:jc w:val="center"/>
              <w:rPr>
                <w:b/>
                <w:bCs/>
                <w:sz w:val="21"/>
                <w:szCs w:val="21"/>
              </w:rPr>
            </w:pPr>
            <w:r>
              <w:rPr>
                <w:b/>
                <w:bCs/>
                <w:sz w:val="21"/>
                <w:szCs w:val="21"/>
              </w:rPr>
              <w:t>（万元）</w:t>
            </w:r>
          </w:p>
        </w:tc>
        <w:tc>
          <w:tcPr>
            <w:tcW w:w="1487" w:type="dxa"/>
            <w:vAlign w:val="center"/>
          </w:tcPr>
          <w:p>
            <w:pPr>
              <w:spacing w:line="280" w:lineRule="exact"/>
              <w:jc w:val="center"/>
              <w:rPr>
                <w:b/>
                <w:bCs/>
                <w:sz w:val="21"/>
                <w:szCs w:val="21"/>
              </w:rPr>
            </w:pPr>
            <w:r>
              <w:rPr>
                <w:b/>
                <w:bCs/>
                <w:sz w:val="21"/>
                <w:szCs w:val="21"/>
              </w:rPr>
              <w:t>履约保证金</w:t>
            </w:r>
          </w:p>
        </w:tc>
        <w:tc>
          <w:tcPr>
            <w:tcW w:w="2734" w:type="dxa"/>
            <w:vAlign w:val="center"/>
          </w:tcPr>
          <w:p>
            <w:pPr>
              <w:spacing w:line="280" w:lineRule="exact"/>
              <w:jc w:val="center"/>
              <w:rPr>
                <w:b/>
                <w:bCs/>
                <w:sz w:val="21"/>
                <w:szCs w:val="21"/>
              </w:rPr>
            </w:pPr>
            <w:r>
              <w:rPr>
                <w:rFonts w:hint="eastAsia" w:ascii="方正仿宋_GBK" w:cs="宋体"/>
                <w:b/>
                <w:bCs/>
                <w:kern w:val="0"/>
                <w:sz w:val="18"/>
                <w:szCs w:val="18"/>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475" w:type="dxa"/>
            <w:vAlign w:val="center"/>
          </w:tcPr>
          <w:p>
            <w:pPr>
              <w:spacing w:line="280" w:lineRule="exact"/>
              <w:jc w:val="left"/>
              <w:rPr>
                <w:rFonts w:hint="default" w:eastAsia="方正仿宋_GBK"/>
                <w:color w:val="auto"/>
                <w:sz w:val="21"/>
                <w:szCs w:val="21"/>
                <w:highlight w:val="none"/>
                <w:lang w:val="en-US" w:eastAsia="zh-CN"/>
              </w:rPr>
            </w:pPr>
            <w:r>
              <w:rPr>
                <w:rFonts w:hint="eastAsia"/>
                <w:color w:val="auto"/>
                <w:sz w:val="21"/>
                <w:szCs w:val="21"/>
                <w:highlight w:val="none"/>
              </w:rPr>
              <w:t>江津区2022年石蟆镇杨柳村片区丘陵山区高标准农田改造提升示范项目</w:t>
            </w:r>
            <w:r>
              <w:rPr>
                <w:rFonts w:hint="eastAsia"/>
                <w:color w:val="auto"/>
                <w:sz w:val="21"/>
                <w:szCs w:val="21"/>
                <w:highlight w:val="none"/>
                <w:lang w:val="en-US" w:eastAsia="zh-CN"/>
              </w:rPr>
              <w:t>材料供应商采购</w:t>
            </w:r>
          </w:p>
        </w:tc>
        <w:tc>
          <w:tcPr>
            <w:tcW w:w="1413" w:type="dxa"/>
            <w:vAlign w:val="center"/>
          </w:tcPr>
          <w:p>
            <w:pPr>
              <w:spacing w:line="280" w:lineRule="exact"/>
              <w:jc w:val="center"/>
              <w:rPr>
                <w:color w:val="auto"/>
                <w:sz w:val="21"/>
                <w:szCs w:val="21"/>
                <w:highlight w:val="none"/>
              </w:rPr>
            </w:pPr>
            <w:r>
              <w:rPr>
                <w:rFonts w:hint="eastAsia" w:ascii="Times New Roman" w:hAnsi="Times New Roman" w:cs="Times New Roman"/>
                <w:color w:val="auto"/>
                <w:highlight w:val="none"/>
                <w:lang w:val="en-US" w:eastAsia="zh-CN"/>
              </w:rPr>
              <w:t>732.932799</w:t>
            </w:r>
          </w:p>
        </w:tc>
        <w:tc>
          <w:tcPr>
            <w:tcW w:w="1387" w:type="dxa"/>
            <w:vAlign w:val="center"/>
          </w:tcPr>
          <w:p>
            <w:pPr>
              <w:spacing w:line="280" w:lineRule="exact"/>
              <w:jc w:val="center"/>
              <w:rPr>
                <w:color w:val="auto"/>
                <w:sz w:val="21"/>
                <w:szCs w:val="21"/>
                <w:highlight w:val="none"/>
              </w:rPr>
            </w:pPr>
            <w:r>
              <w:rPr>
                <w:rFonts w:hint="eastAsia"/>
                <w:color w:val="auto"/>
                <w:sz w:val="21"/>
                <w:szCs w:val="21"/>
                <w:highlight w:val="none"/>
              </w:rPr>
              <w:t>8</w:t>
            </w:r>
          </w:p>
        </w:tc>
        <w:tc>
          <w:tcPr>
            <w:tcW w:w="1487" w:type="dxa"/>
            <w:vAlign w:val="center"/>
          </w:tcPr>
          <w:p>
            <w:pPr>
              <w:spacing w:line="280" w:lineRule="exact"/>
              <w:jc w:val="center"/>
              <w:rPr>
                <w:color w:val="auto"/>
                <w:sz w:val="21"/>
                <w:szCs w:val="21"/>
                <w:highlight w:val="none"/>
              </w:rPr>
            </w:pPr>
            <w:r>
              <w:rPr>
                <w:rFonts w:hint="eastAsia"/>
                <w:color w:val="auto"/>
                <w:sz w:val="21"/>
                <w:szCs w:val="21"/>
                <w:highlight w:val="none"/>
              </w:rPr>
              <w:t>成交</w:t>
            </w:r>
            <w:r>
              <w:rPr>
                <w:color w:val="auto"/>
                <w:sz w:val="21"/>
                <w:szCs w:val="21"/>
                <w:highlight w:val="none"/>
              </w:rPr>
              <w:t>金额的10%</w:t>
            </w:r>
          </w:p>
        </w:tc>
        <w:tc>
          <w:tcPr>
            <w:tcW w:w="2734" w:type="dxa"/>
            <w:vAlign w:val="center"/>
          </w:tcPr>
          <w:p>
            <w:pPr>
              <w:spacing w:line="280" w:lineRule="exact"/>
              <w:jc w:val="center"/>
              <w:rPr>
                <w:color w:val="auto"/>
                <w:sz w:val="21"/>
                <w:szCs w:val="21"/>
                <w:highlight w:val="none"/>
              </w:rPr>
            </w:pPr>
            <w:r>
              <w:rPr>
                <w:rFonts w:hint="eastAsia" w:ascii="方正仿宋_GBK"/>
                <w:color w:val="auto"/>
                <w:sz w:val="21"/>
                <w:szCs w:val="21"/>
                <w:highlight w:val="none"/>
              </w:rPr>
              <w:t>批发业</w:t>
            </w:r>
          </w:p>
        </w:tc>
      </w:tr>
    </w:tbl>
    <w:p>
      <w:pPr>
        <w:pStyle w:val="4"/>
        <w:ind w:left="0" w:leftChars="0" w:firstLine="0" w:firstLineChars="0"/>
        <w:rPr>
          <w:color w:val="auto"/>
          <w:highlight w:val="none"/>
        </w:rPr>
      </w:pPr>
    </w:p>
    <w:p>
      <w:pPr>
        <w:pStyle w:val="4"/>
        <w:ind w:firstLine="480"/>
        <w:rPr>
          <w:color w:val="auto"/>
          <w:highlight w:val="none"/>
        </w:rPr>
      </w:pPr>
      <w:r>
        <w:rPr>
          <w:color w:val="auto"/>
          <w:highlight w:val="none"/>
        </w:rPr>
        <w:t>二、资金来源</w:t>
      </w:r>
      <w:bookmarkEnd w:id="24"/>
      <w:bookmarkEnd w:id="25"/>
      <w:bookmarkEnd w:id="26"/>
      <w:bookmarkEnd w:id="27"/>
      <w:bookmarkEnd w:id="28"/>
      <w:bookmarkEnd w:id="29"/>
      <w:bookmarkEnd w:id="30"/>
    </w:p>
    <w:p>
      <w:pPr>
        <w:ind w:firstLine="480" w:firstLineChars="200"/>
        <w:rPr>
          <w:color w:val="auto"/>
          <w:highlight w:val="none"/>
        </w:rPr>
      </w:pPr>
      <w:r>
        <w:rPr>
          <w:color w:val="auto"/>
          <w:highlight w:val="none"/>
        </w:rPr>
        <w:t>自筹资金，预算金额</w:t>
      </w:r>
      <w:r>
        <w:rPr>
          <w:rFonts w:hint="eastAsia" w:ascii="Times New Roman" w:hAnsi="Times New Roman" w:cs="Times New Roman"/>
          <w:color w:val="auto"/>
          <w:highlight w:val="none"/>
          <w:lang w:val="en-US" w:eastAsia="zh-CN"/>
        </w:rPr>
        <w:t>732.932799</w:t>
      </w:r>
      <w:r>
        <w:rPr>
          <w:color w:val="auto"/>
          <w:highlight w:val="none"/>
        </w:rPr>
        <w:t>万元。</w:t>
      </w:r>
    </w:p>
    <w:p>
      <w:pPr>
        <w:pStyle w:val="4"/>
        <w:ind w:firstLine="480"/>
        <w:rPr>
          <w:color w:val="auto"/>
          <w:highlight w:val="none"/>
        </w:rPr>
      </w:pPr>
      <w:bookmarkStart w:id="31" w:name="_Toc36064031"/>
      <w:bookmarkStart w:id="32" w:name="_Toc32329162"/>
      <w:bookmarkStart w:id="33" w:name="_Toc32329116"/>
      <w:bookmarkStart w:id="34" w:name="_Toc36063995"/>
      <w:bookmarkStart w:id="35" w:name="_Toc32329204"/>
      <w:bookmarkStart w:id="36" w:name="_Toc36064067"/>
      <w:bookmarkStart w:id="37" w:name="_Toc32329063"/>
      <w:r>
        <w:rPr>
          <w:color w:val="auto"/>
          <w:highlight w:val="none"/>
        </w:rPr>
        <w:t>三、</w:t>
      </w:r>
      <w:r>
        <w:rPr>
          <w:rFonts w:hint="eastAsia"/>
          <w:color w:val="auto"/>
          <w:highlight w:val="none"/>
        </w:rPr>
        <w:t>供应商</w:t>
      </w:r>
      <w:r>
        <w:rPr>
          <w:color w:val="auto"/>
          <w:highlight w:val="none"/>
        </w:rPr>
        <w:t>资格要求</w:t>
      </w:r>
      <w:bookmarkEnd w:id="14"/>
      <w:bookmarkEnd w:id="31"/>
      <w:bookmarkEnd w:id="32"/>
      <w:bookmarkEnd w:id="33"/>
      <w:bookmarkEnd w:id="34"/>
      <w:bookmarkEnd w:id="35"/>
      <w:bookmarkEnd w:id="36"/>
      <w:bookmarkEnd w:id="37"/>
    </w:p>
    <w:p>
      <w:pPr>
        <w:ind w:firstLine="480" w:firstLineChars="200"/>
        <w:rPr>
          <w:color w:val="auto"/>
          <w:highlight w:val="none"/>
        </w:rPr>
      </w:pPr>
      <w:r>
        <w:rPr>
          <w:color w:val="auto"/>
          <w:highlight w:val="none"/>
        </w:rPr>
        <w:t>合格</w:t>
      </w:r>
      <w:r>
        <w:rPr>
          <w:rFonts w:hint="eastAsia"/>
          <w:color w:val="auto"/>
          <w:highlight w:val="none"/>
        </w:rPr>
        <w:t>供应商</w:t>
      </w:r>
      <w:r>
        <w:rPr>
          <w:color w:val="auto"/>
          <w:highlight w:val="none"/>
        </w:rPr>
        <w:t>应首先符合</w:t>
      </w:r>
      <w:r>
        <w:rPr>
          <w:rFonts w:hint="eastAsia"/>
          <w:color w:val="auto"/>
          <w:highlight w:val="none"/>
        </w:rPr>
        <w:t>以下</w:t>
      </w:r>
      <w:r>
        <w:rPr>
          <w:color w:val="auto"/>
          <w:highlight w:val="none"/>
        </w:rPr>
        <w:t>基本条件，同时符合根据该项目特点设置的特定资格条件。</w:t>
      </w:r>
    </w:p>
    <w:p>
      <w:pPr>
        <w:ind w:firstLine="480" w:firstLineChars="200"/>
        <w:rPr>
          <w:color w:val="auto"/>
          <w:highlight w:val="none"/>
        </w:rPr>
      </w:pPr>
      <w:r>
        <w:rPr>
          <w:color w:val="auto"/>
          <w:highlight w:val="none"/>
        </w:rPr>
        <w:t>（一）基本资格条件</w:t>
      </w:r>
    </w:p>
    <w:p>
      <w:pPr>
        <w:ind w:firstLine="480" w:firstLineChars="200"/>
        <w:rPr>
          <w:color w:val="auto"/>
          <w:highlight w:val="none"/>
        </w:rPr>
      </w:pPr>
      <w:r>
        <w:rPr>
          <w:color w:val="auto"/>
          <w:highlight w:val="none"/>
        </w:rPr>
        <w:t>1.具有独立承担民事责任的能力；</w:t>
      </w:r>
    </w:p>
    <w:p>
      <w:pPr>
        <w:ind w:firstLine="480" w:firstLineChars="200"/>
        <w:rPr>
          <w:color w:val="auto"/>
          <w:highlight w:val="none"/>
        </w:rPr>
      </w:pPr>
      <w:r>
        <w:rPr>
          <w:color w:val="auto"/>
          <w:highlight w:val="none"/>
        </w:rPr>
        <w:t>2.具有良好的商业信誉和健全的财务会计制度；</w:t>
      </w:r>
    </w:p>
    <w:p>
      <w:pPr>
        <w:ind w:firstLine="480" w:firstLineChars="200"/>
        <w:rPr>
          <w:color w:val="auto"/>
          <w:highlight w:val="none"/>
        </w:rPr>
      </w:pPr>
      <w:r>
        <w:rPr>
          <w:color w:val="auto"/>
          <w:highlight w:val="none"/>
        </w:rPr>
        <w:t>3.具有履行合同所必需的设备和专业技术能力；</w:t>
      </w:r>
    </w:p>
    <w:p>
      <w:pPr>
        <w:ind w:firstLine="480" w:firstLineChars="200"/>
        <w:rPr>
          <w:color w:val="auto"/>
          <w:highlight w:val="none"/>
        </w:rPr>
      </w:pPr>
      <w:r>
        <w:rPr>
          <w:color w:val="auto"/>
          <w:highlight w:val="none"/>
        </w:rPr>
        <w:t>4.有依法缴纳税收和社会保障资金的良好记录；</w:t>
      </w:r>
    </w:p>
    <w:p>
      <w:pPr>
        <w:ind w:firstLine="480" w:firstLineChars="200"/>
        <w:rPr>
          <w:color w:val="auto"/>
          <w:highlight w:val="none"/>
        </w:rPr>
      </w:pPr>
      <w:r>
        <w:rPr>
          <w:color w:val="auto"/>
          <w:highlight w:val="none"/>
        </w:rPr>
        <w:t>5.参加</w:t>
      </w:r>
      <w:r>
        <w:rPr>
          <w:rFonts w:hint="eastAsia"/>
          <w:color w:val="auto"/>
          <w:highlight w:val="none"/>
        </w:rPr>
        <w:t>本次采购</w:t>
      </w:r>
      <w:r>
        <w:rPr>
          <w:color w:val="auto"/>
          <w:highlight w:val="none"/>
        </w:rPr>
        <w:t>活动前三年内，在经营活动中没有重大违法记录；</w:t>
      </w:r>
    </w:p>
    <w:p>
      <w:pPr>
        <w:ind w:firstLine="480" w:firstLineChars="200"/>
        <w:rPr>
          <w:color w:val="auto"/>
          <w:highlight w:val="none"/>
        </w:rPr>
      </w:pPr>
      <w:r>
        <w:rPr>
          <w:color w:val="auto"/>
          <w:highlight w:val="none"/>
        </w:rPr>
        <w:t>6.法律、行政法规规定的其他条件。</w:t>
      </w:r>
    </w:p>
    <w:p>
      <w:pPr>
        <w:ind w:firstLine="480" w:firstLineChars="200"/>
        <w:rPr>
          <w:color w:val="auto"/>
          <w:highlight w:val="none"/>
        </w:rPr>
      </w:pPr>
      <w:r>
        <w:rPr>
          <w:color w:val="auto"/>
          <w:highlight w:val="none"/>
        </w:rPr>
        <w:t>（二）特定资格条件（复印件加盖</w:t>
      </w:r>
      <w:r>
        <w:rPr>
          <w:rFonts w:hint="eastAsia"/>
          <w:color w:val="auto"/>
          <w:highlight w:val="none"/>
        </w:rPr>
        <w:t>供应商</w:t>
      </w:r>
      <w:r>
        <w:rPr>
          <w:color w:val="auto"/>
          <w:highlight w:val="none"/>
        </w:rPr>
        <w:t>鲜章）</w:t>
      </w:r>
    </w:p>
    <w:p>
      <w:pPr>
        <w:ind w:firstLine="480" w:firstLineChars="200"/>
        <w:rPr>
          <w:color w:val="auto"/>
          <w:highlight w:val="none"/>
        </w:rPr>
      </w:pPr>
      <w:r>
        <w:rPr>
          <w:rFonts w:hint="eastAsia" w:ascii="方正仿宋_GBK" w:hAnsi="宋体"/>
          <w:iCs/>
          <w:color w:val="auto"/>
          <w:szCs w:val="24"/>
          <w:highlight w:val="none"/>
        </w:rPr>
        <w:t>有效营业执照经营范围包含</w:t>
      </w:r>
      <w:r>
        <w:rPr>
          <w:color w:val="auto"/>
          <w:highlight w:val="none"/>
        </w:rPr>
        <w:t>建材销售</w:t>
      </w:r>
      <w:r>
        <w:rPr>
          <w:rFonts w:hint="eastAsia"/>
          <w:color w:val="auto"/>
          <w:highlight w:val="none"/>
        </w:rPr>
        <w:t>。</w:t>
      </w:r>
    </w:p>
    <w:p>
      <w:pPr>
        <w:pStyle w:val="4"/>
        <w:ind w:firstLine="480"/>
        <w:rPr>
          <w:color w:val="auto"/>
          <w:highlight w:val="none"/>
        </w:rPr>
      </w:pPr>
      <w:r>
        <w:rPr>
          <w:color w:val="auto"/>
          <w:highlight w:val="none"/>
        </w:rPr>
        <w:t>四、磋商有关说明</w:t>
      </w:r>
    </w:p>
    <w:p>
      <w:pPr>
        <w:ind w:firstLine="480" w:firstLineChars="200"/>
        <w:rPr>
          <w:color w:val="auto"/>
          <w:highlight w:val="none"/>
        </w:rPr>
      </w:pPr>
      <w:r>
        <w:rPr>
          <w:color w:val="auto"/>
          <w:highlight w:val="none"/>
        </w:rPr>
        <w:t>（</w:t>
      </w:r>
      <w:r>
        <w:rPr>
          <w:rFonts w:hint="eastAsia"/>
          <w:color w:val="auto"/>
          <w:highlight w:val="none"/>
        </w:rPr>
        <w:t>一</w:t>
      </w:r>
      <w:r>
        <w:rPr>
          <w:color w:val="auto"/>
          <w:highlight w:val="none"/>
        </w:rPr>
        <w:t>）凡有意参加磋商的投标人，请自行在</w:t>
      </w:r>
      <w:r>
        <w:rPr>
          <w:rFonts w:hint="eastAsia"/>
          <w:color w:val="auto"/>
          <w:highlight w:val="none"/>
        </w:rPr>
        <w:t>华信集团网站</w:t>
      </w:r>
      <w:r>
        <w:rPr>
          <w:rFonts w:hint="eastAsia"/>
          <w:color w:val="auto"/>
          <w:highlight w:val="none"/>
          <w:u w:val="single"/>
        </w:rPr>
        <w:t>http://www.cqjjhxjt.com/</w:t>
      </w:r>
      <w:r>
        <w:rPr>
          <w:color w:val="auto"/>
          <w:highlight w:val="none"/>
        </w:rPr>
        <w:t>上下载本项目竞争性磋商文件以及补遗等磋商前公布的所有项目资料，无论投标人领取或下载与否，均视为已知晓所有磋商实质性要求内容。</w:t>
      </w:r>
    </w:p>
    <w:p>
      <w:pPr>
        <w:ind w:firstLine="480" w:firstLineChars="200"/>
        <w:rPr>
          <w:rFonts w:ascii="Times New Roman" w:hAnsi="Times New Roman" w:cs="Times New Roman"/>
          <w:color w:val="auto"/>
          <w:highlight w:val="none"/>
        </w:rPr>
      </w:pPr>
      <w:r>
        <w:rPr>
          <w:color w:val="auto"/>
          <w:highlight w:val="none"/>
        </w:rPr>
        <w:t>（</w:t>
      </w:r>
      <w:r>
        <w:rPr>
          <w:rFonts w:hint="eastAsia"/>
          <w:color w:val="auto"/>
          <w:highlight w:val="none"/>
        </w:rPr>
        <w:t>二</w:t>
      </w:r>
      <w:r>
        <w:rPr>
          <w:color w:val="auto"/>
          <w:highlight w:val="none"/>
        </w:rPr>
        <w:t>）磋商文件公告期限：</w:t>
      </w:r>
      <w:r>
        <w:rPr>
          <w:rFonts w:hint="eastAsia" w:ascii="Times New Roman" w:hAnsi="Times New Roman" w:cs="Times New Roman"/>
          <w:color w:val="auto"/>
          <w:highlight w:val="none"/>
          <w:lang w:val="en-US" w:eastAsia="zh-CN"/>
        </w:rPr>
        <w:t>2022</w:t>
      </w:r>
      <w:r>
        <w:rPr>
          <w:rFonts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8</w:t>
      </w:r>
      <w:r>
        <w:rPr>
          <w:rFonts w:ascii="Times New Roman" w:hAnsi="Times New Roman" w:cs="Times New Roman"/>
          <w:color w:val="auto"/>
          <w:highlight w:val="none"/>
        </w:rPr>
        <w:t>日——</w:t>
      </w:r>
      <w:r>
        <w:rPr>
          <w:rFonts w:hint="eastAsia" w:ascii="Times New Roman" w:hAnsi="Times New Roman" w:cs="Times New Roman"/>
          <w:color w:val="auto"/>
          <w:highlight w:val="none"/>
          <w:lang w:val="en-US" w:eastAsia="zh-CN"/>
        </w:rPr>
        <w:t>2022</w:t>
      </w:r>
      <w:r>
        <w:rPr>
          <w:rFonts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日。</w:t>
      </w:r>
    </w:p>
    <w:p>
      <w:pPr>
        <w:ind w:firstLine="480" w:firstLineChars="200"/>
        <w:outlineLvl w:val="9"/>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rPr>
        <w:t>三</w:t>
      </w:r>
      <w:r>
        <w:rPr>
          <w:rFonts w:ascii="Times New Roman" w:hAnsi="Times New Roman" w:cs="Times New Roman"/>
          <w:color w:val="auto"/>
          <w:highlight w:val="none"/>
        </w:rPr>
        <w:t>）投标人须满足以下三种要件，其响应文件才被接受：</w:t>
      </w:r>
    </w:p>
    <w:p>
      <w:pPr>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1、按时递交了响应文件；</w:t>
      </w:r>
    </w:p>
    <w:p>
      <w:pPr>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2、按时报名签到；</w:t>
      </w:r>
    </w:p>
    <w:p>
      <w:pPr>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3、按磋商公告规定的方式按时足额缴纳投标保证金。</w:t>
      </w:r>
    </w:p>
    <w:p>
      <w:pPr>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rPr>
        <w:t>四</w:t>
      </w:r>
      <w:r>
        <w:rPr>
          <w:rFonts w:ascii="Times New Roman" w:hAnsi="Times New Roman" w:cs="Times New Roman"/>
          <w:color w:val="auto"/>
          <w:highlight w:val="none"/>
        </w:rPr>
        <w:t>）递交响应文件地点：</w:t>
      </w:r>
      <w:r>
        <w:rPr>
          <w:rFonts w:hint="eastAsia" w:ascii="Times New Roman" w:hAnsi="Times New Roman" w:cs="Times New Roman"/>
          <w:color w:val="auto"/>
          <w:highlight w:val="none"/>
        </w:rPr>
        <w:t>重庆市江津区鼎山街道鼎山大道772号(明月天意1幢)5楼</w:t>
      </w:r>
      <w:r>
        <w:rPr>
          <w:rFonts w:hint="eastAsia" w:ascii="Times New Roman" w:hAnsi="Times New Roman" w:cs="Times New Roman"/>
          <w:color w:val="auto"/>
          <w:highlight w:val="none"/>
          <w:lang w:val="en-US" w:eastAsia="zh-CN"/>
        </w:rPr>
        <w:t>小</w:t>
      </w:r>
      <w:r>
        <w:rPr>
          <w:rFonts w:hint="eastAsia" w:ascii="Times New Roman" w:hAnsi="Times New Roman" w:cs="Times New Roman"/>
          <w:color w:val="auto"/>
          <w:highlight w:val="none"/>
        </w:rPr>
        <w:t>会议室</w:t>
      </w:r>
    </w:p>
    <w:p>
      <w:pPr>
        <w:ind w:firstLine="480" w:firstLineChars="200"/>
        <w:rPr>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rPr>
        <w:t>五</w:t>
      </w:r>
      <w:r>
        <w:rPr>
          <w:rFonts w:ascii="Times New Roman" w:hAnsi="Times New Roman" w:cs="Times New Roman"/>
          <w:color w:val="auto"/>
          <w:highlight w:val="none"/>
        </w:rPr>
        <w:t>）响应文件递交起止时间：</w:t>
      </w:r>
      <w:r>
        <w:rPr>
          <w:rFonts w:hint="eastAsia" w:ascii="Times New Roman" w:hAnsi="Times New Roman" w:cs="Times New Roman"/>
          <w:color w:val="auto"/>
          <w:highlight w:val="none"/>
          <w:lang w:val="en-US" w:eastAsia="zh-CN"/>
        </w:rPr>
        <w:t>2022</w:t>
      </w:r>
      <w:r>
        <w:rPr>
          <w:rFonts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日</w:t>
      </w:r>
      <w:r>
        <w:rPr>
          <w:rFonts w:hint="eastAsia"/>
          <w:color w:val="auto"/>
          <w:highlight w:val="none"/>
          <w:lang w:val="en-US" w:eastAsia="zh-CN"/>
        </w:rPr>
        <w:t>14</w:t>
      </w:r>
      <w:r>
        <w:rPr>
          <w:color w:val="auto"/>
          <w:highlight w:val="none"/>
        </w:rPr>
        <w:t>:</w:t>
      </w:r>
      <w:r>
        <w:rPr>
          <w:rFonts w:hint="eastAsia"/>
          <w:color w:val="auto"/>
          <w:highlight w:val="none"/>
          <w:lang w:val="en-US" w:eastAsia="zh-CN"/>
        </w:rPr>
        <w:t>3</w:t>
      </w:r>
      <w:r>
        <w:rPr>
          <w:color w:val="auto"/>
          <w:highlight w:val="none"/>
        </w:rPr>
        <w:t>0 ——</w:t>
      </w:r>
      <w:r>
        <w:rPr>
          <w:rFonts w:hint="eastAsia"/>
          <w:color w:val="auto"/>
          <w:highlight w:val="none"/>
          <w:lang w:val="en-US" w:eastAsia="zh-CN"/>
        </w:rPr>
        <w:t>15</w:t>
      </w:r>
      <w:r>
        <w:rPr>
          <w:color w:val="auto"/>
          <w:highlight w:val="none"/>
        </w:rPr>
        <w:t>:</w:t>
      </w:r>
      <w:r>
        <w:rPr>
          <w:rFonts w:hint="eastAsia"/>
          <w:color w:val="auto"/>
          <w:highlight w:val="none"/>
          <w:lang w:val="en-US" w:eastAsia="zh-CN"/>
        </w:rPr>
        <w:t>0</w:t>
      </w:r>
      <w:r>
        <w:rPr>
          <w:color w:val="auto"/>
          <w:highlight w:val="none"/>
        </w:rPr>
        <w:t>0响应文件开启时间：</w:t>
      </w:r>
      <w:r>
        <w:rPr>
          <w:rFonts w:hint="eastAsia"/>
          <w:color w:val="auto"/>
          <w:highlight w:val="none"/>
          <w:lang w:val="en-US" w:eastAsia="zh-CN"/>
        </w:rPr>
        <w:t>2022</w:t>
      </w:r>
      <w:r>
        <w:rPr>
          <w:color w:val="auto"/>
          <w:highlight w:val="none"/>
        </w:rPr>
        <w:t>年</w:t>
      </w:r>
      <w:r>
        <w:rPr>
          <w:rFonts w:hint="eastAsia"/>
          <w:color w:val="auto"/>
          <w:highlight w:val="none"/>
          <w:lang w:val="en-US" w:eastAsia="zh-CN"/>
        </w:rPr>
        <w:t>11</w:t>
      </w:r>
      <w:r>
        <w:rPr>
          <w:color w:val="auto"/>
          <w:highlight w:val="none"/>
        </w:rPr>
        <w:t>月</w:t>
      </w:r>
      <w:r>
        <w:rPr>
          <w:rFonts w:hint="eastAsia"/>
          <w:color w:val="auto"/>
          <w:highlight w:val="none"/>
          <w:lang w:val="en-US" w:eastAsia="zh-CN"/>
        </w:rPr>
        <w:t>11</w:t>
      </w:r>
      <w:r>
        <w:rPr>
          <w:color w:val="auto"/>
          <w:highlight w:val="none"/>
        </w:rPr>
        <w:t>日</w:t>
      </w:r>
      <w:r>
        <w:rPr>
          <w:rFonts w:hint="eastAsia"/>
          <w:color w:val="auto"/>
          <w:highlight w:val="none"/>
          <w:lang w:val="en-US" w:eastAsia="zh-CN"/>
        </w:rPr>
        <w:t>15</w:t>
      </w:r>
      <w:bookmarkStart w:id="281" w:name="_GoBack"/>
      <w:bookmarkEnd w:id="281"/>
      <w:r>
        <w:rPr>
          <w:color w:val="auto"/>
          <w:highlight w:val="none"/>
        </w:rPr>
        <w:t>:</w:t>
      </w:r>
      <w:r>
        <w:rPr>
          <w:rFonts w:hint="eastAsia"/>
          <w:color w:val="auto"/>
          <w:highlight w:val="none"/>
          <w:lang w:val="en-US" w:eastAsia="zh-CN"/>
        </w:rPr>
        <w:t>0</w:t>
      </w:r>
      <w:r>
        <w:rPr>
          <w:color w:val="auto"/>
          <w:highlight w:val="none"/>
        </w:rPr>
        <w:t>0</w:t>
      </w:r>
    </w:p>
    <w:p>
      <w:pPr>
        <w:pStyle w:val="4"/>
        <w:ind w:firstLine="480"/>
        <w:rPr>
          <w:rFonts w:hint="eastAsia" w:eastAsia="方正仿宋_GBK"/>
          <w:color w:val="auto"/>
          <w:highlight w:val="none"/>
          <w:lang w:eastAsia="zh-CN"/>
        </w:rPr>
      </w:pPr>
      <w:bookmarkStart w:id="38" w:name="_Toc32329164"/>
      <w:bookmarkStart w:id="39" w:name="_Toc493506282"/>
      <w:bookmarkStart w:id="40" w:name="_Toc36063996"/>
      <w:bookmarkStart w:id="41" w:name="_Toc32329065"/>
      <w:bookmarkStart w:id="42" w:name="_Toc32329206"/>
      <w:bookmarkStart w:id="43" w:name="_Toc32329118"/>
      <w:bookmarkStart w:id="44" w:name="_Toc36064032"/>
      <w:bookmarkStart w:id="45" w:name="_Toc36064068"/>
      <w:bookmarkStart w:id="46" w:name="_Toc493506283"/>
      <w:r>
        <w:rPr>
          <w:color w:val="auto"/>
          <w:highlight w:val="none"/>
        </w:rPr>
        <w:t>五、</w:t>
      </w:r>
      <w:bookmarkEnd w:id="38"/>
      <w:bookmarkEnd w:id="39"/>
      <w:bookmarkEnd w:id="40"/>
      <w:bookmarkEnd w:id="41"/>
      <w:bookmarkEnd w:id="42"/>
      <w:bookmarkEnd w:id="43"/>
      <w:bookmarkEnd w:id="44"/>
      <w:bookmarkEnd w:id="45"/>
      <w:r>
        <w:rPr>
          <w:rFonts w:hint="eastAsia"/>
          <w:color w:val="auto"/>
          <w:highlight w:val="none"/>
          <w:lang w:eastAsia="zh-CN"/>
        </w:rPr>
        <w:t>投标保证金</w:t>
      </w:r>
    </w:p>
    <w:p>
      <w:pPr>
        <w:ind w:firstLine="480" w:firstLineChars="200"/>
        <w:rPr>
          <w:color w:val="auto"/>
          <w:highlight w:val="none"/>
        </w:rPr>
      </w:pPr>
      <w:r>
        <w:rPr>
          <w:rFonts w:hint="eastAsia"/>
          <w:color w:val="auto"/>
          <w:highlight w:val="none"/>
          <w:lang w:eastAsia="zh-CN"/>
        </w:rPr>
        <w:t>投标保证金</w:t>
      </w:r>
      <w:r>
        <w:rPr>
          <w:color w:val="auto"/>
          <w:highlight w:val="none"/>
          <w:u w:val="single"/>
        </w:rPr>
        <w:t>以银行转账</w:t>
      </w:r>
      <w:r>
        <w:rPr>
          <w:color w:val="auto"/>
          <w:highlight w:val="none"/>
        </w:rPr>
        <w:t>递交</w:t>
      </w:r>
    </w:p>
    <w:p>
      <w:pPr>
        <w:ind w:firstLine="480" w:firstLineChars="200"/>
        <w:rPr>
          <w:color w:val="auto"/>
          <w:highlight w:val="none"/>
        </w:rPr>
      </w:pPr>
      <w:r>
        <w:rPr>
          <w:rFonts w:hint="eastAsia"/>
          <w:color w:val="auto"/>
          <w:highlight w:val="none"/>
        </w:rPr>
        <w:t>（一）</w:t>
      </w:r>
      <w:r>
        <w:rPr>
          <w:rFonts w:hint="eastAsia"/>
          <w:color w:val="auto"/>
          <w:highlight w:val="none"/>
          <w:lang w:eastAsia="zh-CN"/>
        </w:rPr>
        <w:t>投标保证金</w:t>
      </w:r>
      <w:r>
        <w:rPr>
          <w:color w:val="auto"/>
          <w:highlight w:val="none"/>
        </w:rPr>
        <w:t>的到账截止时间同</w:t>
      </w:r>
      <w:r>
        <w:rPr>
          <w:rFonts w:hint="eastAsia"/>
          <w:color w:val="auto"/>
          <w:highlight w:val="none"/>
        </w:rPr>
        <w:t>磋商</w:t>
      </w:r>
      <w:r>
        <w:rPr>
          <w:color w:val="auto"/>
          <w:highlight w:val="none"/>
        </w:rPr>
        <w:t>截止时间，</w:t>
      </w:r>
      <w:r>
        <w:rPr>
          <w:rFonts w:hint="eastAsia"/>
          <w:color w:val="auto"/>
          <w:highlight w:val="none"/>
        </w:rPr>
        <w:t>供应商</w:t>
      </w:r>
      <w:r>
        <w:rPr>
          <w:color w:val="auto"/>
          <w:highlight w:val="none"/>
        </w:rPr>
        <w:t>从</w:t>
      </w:r>
      <w:r>
        <w:rPr>
          <w:rFonts w:hint="eastAsia"/>
          <w:color w:val="auto"/>
          <w:highlight w:val="none"/>
        </w:rPr>
        <w:t>供应商</w:t>
      </w:r>
      <w:r>
        <w:rPr>
          <w:color w:val="auto"/>
          <w:highlight w:val="none"/>
        </w:rPr>
        <w:t>的基本账户（开户行）在</w:t>
      </w:r>
      <w:r>
        <w:rPr>
          <w:rFonts w:hint="eastAsia"/>
          <w:color w:val="auto"/>
          <w:highlight w:val="none"/>
          <w:lang w:eastAsia="zh-CN"/>
        </w:rPr>
        <w:t>投标保证金</w:t>
      </w:r>
      <w:r>
        <w:rPr>
          <w:color w:val="auto"/>
          <w:highlight w:val="none"/>
        </w:rPr>
        <w:t>到账截止时间前通过转账支票直接划付或以电汇方式直接划付至下面指定的</w:t>
      </w:r>
      <w:r>
        <w:rPr>
          <w:rFonts w:hint="eastAsia"/>
          <w:color w:val="auto"/>
          <w:highlight w:val="none"/>
          <w:lang w:eastAsia="zh-CN"/>
        </w:rPr>
        <w:t>投标保证金</w:t>
      </w:r>
      <w:r>
        <w:rPr>
          <w:color w:val="auto"/>
          <w:highlight w:val="none"/>
        </w:rPr>
        <w:t>账户，转款时汇出账号必须与《开户许可证》或《基本存款账户信息》上的账号一致，否则</w:t>
      </w:r>
      <w:r>
        <w:rPr>
          <w:rFonts w:hint="eastAsia"/>
          <w:color w:val="auto"/>
          <w:highlight w:val="none"/>
        </w:rPr>
        <w:t>响应</w:t>
      </w:r>
      <w:r>
        <w:rPr>
          <w:color w:val="auto"/>
          <w:highlight w:val="none"/>
        </w:rPr>
        <w:t>无效。转款时在备注或用途栏注明项目名称（可简写）。</w:t>
      </w:r>
      <w:r>
        <w:rPr>
          <w:rFonts w:hint="eastAsia"/>
          <w:color w:val="auto"/>
          <w:highlight w:val="none"/>
        </w:rPr>
        <w:t>供应商</w:t>
      </w:r>
      <w:r>
        <w:rPr>
          <w:color w:val="auto"/>
          <w:highlight w:val="none"/>
        </w:rPr>
        <w:t>自行考虑汇入时间风险，如同城汇入、异地汇入、跨行汇入的时间要求。</w:t>
      </w:r>
      <w:r>
        <w:rPr>
          <w:rFonts w:hint="eastAsia"/>
          <w:color w:val="auto"/>
          <w:highlight w:val="none"/>
        </w:rPr>
        <w:t>供应商</w:t>
      </w:r>
      <w:r>
        <w:rPr>
          <w:color w:val="auto"/>
          <w:highlight w:val="none"/>
        </w:rPr>
        <w:t>须在</w:t>
      </w:r>
      <w:r>
        <w:rPr>
          <w:rFonts w:hint="eastAsia"/>
          <w:color w:val="auto"/>
          <w:highlight w:val="none"/>
        </w:rPr>
        <w:t>响应文件</w:t>
      </w:r>
      <w:r>
        <w:rPr>
          <w:color w:val="auto"/>
          <w:highlight w:val="none"/>
        </w:rPr>
        <w:t>相应部分提供转款凭证和基本账户（《开户许可证》或《基本存款账户信息》）复印件。</w:t>
      </w:r>
    </w:p>
    <w:p>
      <w:pPr>
        <w:ind w:firstLine="480" w:firstLineChars="200"/>
        <w:rPr>
          <w:color w:val="auto"/>
          <w:highlight w:val="none"/>
        </w:rPr>
      </w:pPr>
      <w:r>
        <w:rPr>
          <w:color w:val="auto"/>
          <w:highlight w:val="none"/>
        </w:rPr>
        <w:t>（二）</w:t>
      </w:r>
      <w:r>
        <w:rPr>
          <w:rFonts w:hint="eastAsia"/>
          <w:color w:val="auto"/>
          <w:highlight w:val="none"/>
          <w:lang w:eastAsia="zh-CN"/>
        </w:rPr>
        <w:t>投标保证金</w:t>
      </w:r>
      <w:r>
        <w:rPr>
          <w:color w:val="auto"/>
          <w:highlight w:val="none"/>
        </w:rPr>
        <w:t>账户 </w:t>
      </w:r>
    </w:p>
    <w:p>
      <w:pPr>
        <w:ind w:firstLine="480" w:firstLineChars="200"/>
        <w:rPr>
          <w:color w:val="auto"/>
          <w:highlight w:val="none"/>
        </w:rPr>
      </w:pPr>
      <w:r>
        <w:rPr>
          <w:rFonts w:hint="eastAsia"/>
          <w:color w:val="auto"/>
          <w:highlight w:val="none"/>
        </w:rPr>
        <w:t>帐户名称：重庆市江津区电力建筑安装工程有限责任公司</w:t>
      </w:r>
    </w:p>
    <w:p>
      <w:pPr>
        <w:ind w:firstLine="480" w:firstLineChars="200"/>
        <w:rPr>
          <w:color w:val="auto"/>
          <w:highlight w:val="none"/>
        </w:rPr>
      </w:pPr>
      <w:r>
        <w:rPr>
          <w:rFonts w:hint="eastAsia"/>
          <w:color w:val="auto"/>
          <w:highlight w:val="none"/>
        </w:rPr>
        <w:t>开户银行：中国建设银行江津支行</w:t>
      </w:r>
    </w:p>
    <w:p>
      <w:pPr>
        <w:ind w:firstLine="480" w:firstLineChars="200"/>
        <w:jc w:val="left"/>
        <w:rPr>
          <w:color w:val="auto"/>
          <w:highlight w:val="none"/>
        </w:rPr>
      </w:pPr>
      <w:r>
        <w:rPr>
          <w:rFonts w:hint="eastAsia"/>
          <w:color w:val="auto"/>
          <w:highlight w:val="none"/>
        </w:rPr>
        <w:t>银行帐号：</w:t>
      </w:r>
      <w:r>
        <w:rPr>
          <w:color w:val="auto"/>
          <w:highlight w:val="none"/>
        </w:rPr>
        <w:t>50001133800050001262</w:t>
      </w:r>
    </w:p>
    <w:p>
      <w:pPr>
        <w:ind w:firstLine="480" w:firstLineChars="200"/>
        <w:rPr>
          <w:color w:val="auto"/>
          <w:highlight w:val="none"/>
        </w:rPr>
      </w:pPr>
      <w:r>
        <w:rPr>
          <w:color w:val="auto"/>
          <w:highlight w:val="none"/>
        </w:rPr>
        <w:t> （三）</w:t>
      </w:r>
      <w:r>
        <w:rPr>
          <w:rFonts w:hint="eastAsia"/>
          <w:color w:val="auto"/>
          <w:highlight w:val="none"/>
          <w:lang w:eastAsia="zh-CN"/>
        </w:rPr>
        <w:t>投标保证金</w:t>
      </w:r>
      <w:r>
        <w:rPr>
          <w:color w:val="auto"/>
          <w:highlight w:val="none"/>
        </w:rPr>
        <w:t>退还</w:t>
      </w:r>
    </w:p>
    <w:p>
      <w:pPr>
        <w:ind w:firstLine="480" w:firstLineChars="200"/>
        <w:rPr>
          <w:color w:val="auto"/>
          <w:highlight w:val="none"/>
        </w:rPr>
      </w:pPr>
      <w:r>
        <w:rPr>
          <w:rFonts w:hint="eastAsia"/>
          <w:color w:val="auto"/>
          <w:highlight w:val="none"/>
        </w:rPr>
        <w:t>采购人最迟在书面合同签订后10日内向成交供应商和未成交的供应商无息退还</w:t>
      </w:r>
      <w:r>
        <w:rPr>
          <w:rFonts w:hint="eastAsia"/>
          <w:color w:val="auto"/>
          <w:highlight w:val="none"/>
          <w:lang w:eastAsia="zh-CN"/>
        </w:rPr>
        <w:t>投标保证金</w:t>
      </w:r>
      <w:r>
        <w:rPr>
          <w:color w:val="auto"/>
          <w:highlight w:val="none"/>
        </w:rPr>
        <w:t>。</w:t>
      </w:r>
    </w:p>
    <w:p>
      <w:pPr>
        <w:pStyle w:val="4"/>
        <w:ind w:firstLine="480"/>
        <w:rPr>
          <w:color w:val="auto"/>
          <w:highlight w:val="none"/>
        </w:rPr>
      </w:pPr>
      <w:bookmarkStart w:id="47" w:name="_Toc36063997"/>
      <w:bookmarkStart w:id="48" w:name="_Toc36064069"/>
      <w:bookmarkStart w:id="49" w:name="_Toc36064033"/>
      <w:bookmarkStart w:id="50" w:name="_Toc32329119"/>
      <w:bookmarkStart w:id="51" w:name="_Toc32329066"/>
      <w:bookmarkStart w:id="52" w:name="_Toc32329207"/>
      <w:bookmarkStart w:id="53" w:name="_Toc32329165"/>
      <w:r>
        <w:rPr>
          <w:color w:val="auto"/>
          <w:highlight w:val="none"/>
        </w:rPr>
        <w:t>六、</w:t>
      </w:r>
      <w:bookmarkEnd w:id="46"/>
      <w:bookmarkEnd w:id="47"/>
      <w:bookmarkEnd w:id="48"/>
      <w:bookmarkEnd w:id="49"/>
      <w:bookmarkEnd w:id="50"/>
      <w:bookmarkEnd w:id="51"/>
      <w:bookmarkEnd w:id="52"/>
      <w:bookmarkEnd w:id="53"/>
      <w:bookmarkStart w:id="54" w:name="_Toc32329208"/>
      <w:bookmarkStart w:id="55" w:name="_Toc36064070"/>
      <w:bookmarkStart w:id="56" w:name="_Toc32329120"/>
      <w:bookmarkStart w:id="57" w:name="_Toc36063998"/>
      <w:bookmarkStart w:id="58" w:name="_Toc32329166"/>
      <w:bookmarkStart w:id="59" w:name="_Toc32329067"/>
      <w:bookmarkStart w:id="60" w:name="_Toc36064034"/>
      <w:r>
        <w:rPr>
          <w:color w:val="auto"/>
          <w:highlight w:val="none"/>
        </w:rPr>
        <w:t>其它有关规定</w:t>
      </w:r>
      <w:bookmarkEnd w:id="54"/>
      <w:bookmarkEnd w:id="55"/>
      <w:bookmarkEnd w:id="56"/>
      <w:bookmarkEnd w:id="57"/>
      <w:bookmarkEnd w:id="58"/>
      <w:bookmarkEnd w:id="59"/>
      <w:bookmarkEnd w:id="60"/>
    </w:p>
    <w:p>
      <w:pPr>
        <w:ind w:firstLine="480" w:firstLineChars="200"/>
        <w:rPr>
          <w:color w:val="auto"/>
          <w:highlight w:val="none"/>
        </w:rPr>
      </w:pPr>
      <w:r>
        <w:rPr>
          <w:rFonts w:hint="eastAsia"/>
          <w:color w:val="auto"/>
          <w:highlight w:val="none"/>
        </w:rPr>
        <w:t>（一）单位负责人为同一人或者存在直接控股、管理关系的不同供应商，不得参加同一合同项（包）下的本次采购活动，否则均为无效响应。</w:t>
      </w:r>
    </w:p>
    <w:p>
      <w:pPr>
        <w:ind w:firstLine="480" w:firstLineChars="200"/>
        <w:rPr>
          <w:color w:val="auto"/>
          <w:highlight w:val="none"/>
        </w:rPr>
      </w:pPr>
      <w:r>
        <w:rPr>
          <w:rFonts w:hint="eastAsia"/>
          <w:color w:val="auto"/>
          <w:highlight w:val="none"/>
        </w:rPr>
        <w:t>（二）为采购项目提供整体设计、规范编制或者项目管理、监理、检测等服务的供应商，不得再参加该采购项目的其他采购活动。</w:t>
      </w:r>
    </w:p>
    <w:p>
      <w:pPr>
        <w:ind w:firstLine="480" w:firstLineChars="200"/>
        <w:rPr>
          <w:color w:val="auto"/>
          <w:highlight w:val="none"/>
        </w:rPr>
      </w:pPr>
      <w:r>
        <w:rPr>
          <w:color w:val="auto"/>
          <w:highlight w:val="none"/>
        </w:rPr>
        <w:t>（</w:t>
      </w:r>
      <w:r>
        <w:rPr>
          <w:rFonts w:hint="eastAsia"/>
          <w:color w:val="auto"/>
          <w:highlight w:val="none"/>
        </w:rPr>
        <w:t>三</w:t>
      </w:r>
      <w:r>
        <w:rPr>
          <w:color w:val="auto"/>
          <w:highlight w:val="none"/>
        </w:rPr>
        <w:t>）</w:t>
      </w:r>
      <w:r>
        <w:rPr>
          <w:rFonts w:hint="eastAsia"/>
          <w:color w:val="auto"/>
          <w:highlight w:val="none"/>
        </w:rPr>
        <w:t>超过规定时间送达或未按要求密封和标记的响应文件不予受理，响应文件一经收取不予退还</w:t>
      </w:r>
      <w:r>
        <w:rPr>
          <w:color w:val="auto"/>
          <w:highlight w:val="none"/>
        </w:rPr>
        <w:t>。</w:t>
      </w:r>
    </w:p>
    <w:p>
      <w:pPr>
        <w:ind w:firstLine="480" w:firstLineChars="200"/>
        <w:rPr>
          <w:color w:val="auto"/>
          <w:highlight w:val="none"/>
        </w:rPr>
      </w:pPr>
      <w:r>
        <w:rPr>
          <w:color w:val="auto"/>
          <w:highlight w:val="none"/>
        </w:rPr>
        <w:t>（</w:t>
      </w:r>
      <w:r>
        <w:rPr>
          <w:rFonts w:hint="eastAsia"/>
          <w:color w:val="auto"/>
          <w:highlight w:val="none"/>
        </w:rPr>
        <w:t>四</w:t>
      </w:r>
      <w:r>
        <w:rPr>
          <w:color w:val="auto"/>
          <w:highlight w:val="none"/>
        </w:rPr>
        <w:t>）</w:t>
      </w:r>
      <w:r>
        <w:rPr>
          <w:rFonts w:hint="eastAsia"/>
          <w:color w:val="auto"/>
          <w:highlight w:val="none"/>
        </w:rPr>
        <w:t>供应商</w:t>
      </w:r>
      <w:r>
        <w:rPr>
          <w:color w:val="auto"/>
          <w:highlight w:val="none"/>
        </w:rPr>
        <w:t>应自行踏勘现场。</w:t>
      </w:r>
      <w:r>
        <w:rPr>
          <w:rFonts w:hint="eastAsia"/>
          <w:color w:val="auto"/>
          <w:highlight w:val="none"/>
        </w:rPr>
        <w:t>供应商</w:t>
      </w:r>
      <w:r>
        <w:rPr>
          <w:color w:val="auto"/>
          <w:highlight w:val="none"/>
        </w:rPr>
        <w:t>自身应对考察中获取的现场资料负责。不管</w:t>
      </w:r>
      <w:r>
        <w:rPr>
          <w:rFonts w:hint="eastAsia"/>
          <w:color w:val="auto"/>
          <w:highlight w:val="none"/>
        </w:rPr>
        <w:t>供应商</w:t>
      </w:r>
      <w:r>
        <w:rPr>
          <w:color w:val="auto"/>
          <w:highlight w:val="none"/>
        </w:rPr>
        <w:t>是否踏勘过现场，均被认为在递交响应文件之前已踏勘过现场，对本项目的风险和义务十分了解，并在其</w:t>
      </w:r>
      <w:r>
        <w:rPr>
          <w:rFonts w:hint="eastAsia"/>
          <w:color w:val="auto"/>
          <w:highlight w:val="none"/>
        </w:rPr>
        <w:t>响应文件</w:t>
      </w:r>
      <w:r>
        <w:rPr>
          <w:color w:val="auto"/>
          <w:highlight w:val="none"/>
        </w:rPr>
        <w:t>中充分考虑了现场和环境条件。</w:t>
      </w:r>
    </w:p>
    <w:p>
      <w:pPr>
        <w:pStyle w:val="2"/>
        <w:ind w:firstLine="480" w:firstLineChars="200"/>
        <w:rPr>
          <w:color w:val="auto"/>
          <w:sz w:val="24"/>
          <w:highlight w:val="none"/>
        </w:rPr>
      </w:pPr>
      <w:r>
        <w:rPr>
          <w:color w:val="auto"/>
          <w:sz w:val="24"/>
          <w:highlight w:val="none"/>
        </w:rPr>
        <w:t>（</w:t>
      </w:r>
      <w:r>
        <w:rPr>
          <w:rFonts w:hint="eastAsia"/>
          <w:color w:val="auto"/>
          <w:sz w:val="24"/>
          <w:highlight w:val="none"/>
        </w:rPr>
        <w:t>五</w:t>
      </w:r>
      <w:r>
        <w:rPr>
          <w:color w:val="auto"/>
          <w:sz w:val="24"/>
          <w:highlight w:val="none"/>
        </w:rPr>
        <w:t>）</w:t>
      </w:r>
      <w:r>
        <w:rPr>
          <w:rFonts w:hint="eastAsia"/>
          <w:color w:val="auto"/>
          <w:sz w:val="24"/>
          <w:highlight w:val="none"/>
        </w:rPr>
        <w:t>磋商费用：无论磋商结果如何，供应商参与本项目磋商的所有费用均应由供应商自行承担。</w:t>
      </w:r>
    </w:p>
    <w:p>
      <w:pPr>
        <w:pStyle w:val="2"/>
        <w:ind w:firstLine="480" w:firstLineChars="200"/>
        <w:rPr>
          <w:color w:val="auto"/>
          <w:sz w:val="24"/>
          <w:highlight w:val="none"/>
        </w:rPr>
      </w:pPr>
      <w:r>
        <w:rPr>
          <w:rFonts w:hint="eastAsia"/>
          <w:color w:val="auto"/>
          <w:sz w:val="24"/>
          <w:highlight w:val="none"/>
        </w:rPr>
        <w:t>（六）采购人本批次采购的材料采购项目共4个，分别为江津区2022年石蟆镇和平村片区丘陵山区高标准农田改造提升示范项目</w:t>
      </w:r>
      <w:r>
        <w:rPr>
          <w:rFonts w:hint="eastAsia"/>
          <w:color w:val="auto"/>
          <w:sz w:val="24"/>
          <w:highlight w:val="none"/>
          <w:lang w:val="en-US" w:eastAsia="zh-CN"/>
        </w:rPr>
        <w:t>材料供应商</w:t>
      </w:r>
      <w:r>
        <w:rPr>
          <w:rFonts w:hint="eastAsia"/>
          <w:color w:val="auto"/>
          <w:sz w:val="24"/>
          <w:highlight w:val="none"/>
        </w:rPr>
        <w:t>采购、江津区2022年石蟆镇杨柳村片区丘陵山区高标准农田改造提升示范项目</w:t>
      </w:r>
      <w:r>
        <w:rPr>
          <w:rFonts w:hint="eastAsia"/>
          <w:color w:val="auto"/>
          <w:sz w:val="24"/>
          <w:highlight w:val="none"/>
          <w:lang w:val="en-US" w:eastAsia="zh-CN"/>
        </w:rPr>
        <w:t>材料供应商</w:t>
      </w:r>
      <w:r>
        <w:rPr>
          <w:rFonts w:hint="eastAsia"/>
          <w:color w:val="auto"/>
          <w:sz w:val="24"/>
          <w:highlight w:val="none"/>
        </w:rPr>
        <w:t>采购、江津区2022年先锋镇金紫村片区丘陵山区高标准农田改造提升示范项目</w:t>
      </w:r>
      <w:r>
        <w:rPr>
          <w:rFonts w:hint="eastAsia"/>
          <w:color w:val="auto"/>
          <w:sz w:val="24"/>
          <w:highlight w:val="none"/>
          <w:lang w:val="en-US" w:eastAsia="zh-CN"/>
        </w:rPr>
        <w:t>材料供应商</w:t>
      </w:r>
      <w:r>
        <w:rPr>
          <w:rFonts w:hint="eastAsia"/>
          <w:color w:val="auto"/>
          <w:sz w:val="24"/>
          <w:highlight w:val="none"/>
        </w:rPr>
        <w:t>采购、江津区2022年永兴镇旸岩</w:t>
      </w:r>
      <w:r>
        <w:rPr>
          <w:rFonts w:hint="eastAsia"/>
          <w:color w:val="auto"/>
          <w:sz w:val="24"/>
          <w:highlight w:val="none"/>
          <w:lang w:val="en-US" w:eastAsia="zh-CN"/>
        </w:rPr>
        <w:t>村</w:t>
      </w:r>
      <w:r>
        <w:rPr>
          <w:rFonts w:hint="eastAsia"/>
          <w:color w:val="auto"/>
          <w:sz w:val="24"/>
          <w:highlight w:val="none"/>
        </w:rPr>
        <w:t>片区丘陵山区高标准农田改造提升示范项目</w:t>
      </w:r>
      <w:r>
        <w:rPr>
          <w:rFonts w:hint="eastAsia"/>
          <w:color w:val="auto"/>
          <w:sz w:val="24"/>
          <w:highlight w:val="none"/>
          <w:lang w:val="en-US" w:eastAsia="zh-CN"/>
        </w:rPr>
        <w:t>材料供应商</w:t>
      </w:r>
      <w:r>
        <w:rPr>
          <w:rFonts w:hint="eastAsia"/>
          <w:color w:val="auto"/>
          <w:sz w:val="24"/>
          <w:highlight w:val="none"/>
        </w:rPr>
        <w:t>采购，同一投标人只能选择其中1个进行投标，多投无效。</w:t>
      </w:r>
    </w:p>
    <w:p>
      <w:pPr>
        <w:pStyle w:val="4"/>
        <w:ind w:firstLine="480"/>
        <w:rPr>
          <w:color w:val="auto"/>
          <w:highlight w:val="none"/>
        </w:rPr>
      </w:pPr>
      <w:bookmarkStart w:id="61" w:name="_Toc32329167"/>
      <w:bookmarkStart w:id="62" w:name="_Toc36064035"/>
      <w:bookmarkStart w:id="63" w:name="_Toc32329068"/>
      <w:bookmarkStart w:id="64" w:name="_Toc32329209"/>
      <w:bookmarkStart w:id="65" w:name="_Toc36064071"/>
      <w:bookmarkStart w:id="66" w:name="_Toc32329121"/>
      <w:bookmarkStart w:id="67" w:name="_Toc36063999"/>
      <w:r>
        <w:rPr>
          <w:color w:val="auto"/>
          <w:highlight w:val="none"/>
        </w:rPr>
        <w:t>八、联系方式</w:t>
      </w:r>
      <w:bookmarkEnd w:id="61"/>
      <w:bookmarkEnd w:id="62"/>
      <w:bookmarkEnd w:id="63"/>
      <w:bookmarkEnd w:id="64"/>
      <w:bookmarkEnd w:id="65"/>
      <w:bookmarkEnd w:id="66"/>
      <w:bookmarkEnd w:id="67"/>
    </w:p>
    <w:p>
      <w:pPr>
        <w:ind w:firstLine="480" w:firstLineChars="200"/>
        <w:outlineLvl w:val="9"/>
        <w:rPr>
          <w:color w:val="auto"/>
          <w:highlight w:val="none"/>
        </w:rPr>
      </w:pPr>
      <w:r>
        <w:rPr>
          <w:color w:val="auto"/>
          <w:highlight w:val="none"/>
        </w:rPr>
        <w:t>（一）采购代理机构：</w:t>
      </w:r>
      <w:r>
        <w:rPr>
          <w:rFonts w:hint="eastAsia"/>
          <w:color w:val="auto"/>
          <w:highlight w:val="none"/>
          <w:lang w:eastAsia="zh-CN"/>
        </w:rPr>
        <w:t>重庆恒昕工程技术咨询有限公司</w:t>
      </w:r>
      <w:r>
        <w:rPr>
          <w:color w:val="auto"/>
          <w:highlight w:val="none"/>
        </w:rPr>
        <w:t>。</w:t>
      </w:r>
    </w:p>
    <w:p>
      <w:pPr>
        <w:ind w:firstLine="480" w:firstLineChars="200"/>
        <w:rPr>
          <w:rFonts w:hint="eastAsia"/>
          <w:color w:val="auto"/>
          <w:highlight w:val="none"/>
          <w:lang w:val="en-US" w:eastAsia="zh-CN"/>
        </w:rPr>
      </w:pPr>
      <w:r>
        <w:rPr>
          <w:color w:val="auto"/>
          <w:highlight w:val="none"/>
        </w:rPr>
        <w:t>联系人：</w:t>
      </w:r>
      <w:r>
        <w:rPr>
          <w:rFonts w:hint="eastAsia"/>
          <w:color w:val="auto"/>
          <w:highlight w:val="none"/>
          <w:lang w:val="en-US" w:eastAsia="zh-CN"/>
        </w:rPr>
        <w:t>刘静</w:t>
      </w:r>
    </w:p>
    <w:p>
      <w:pPr>
        <w:ind w:firstLine="480" w:firstLineChars="200"/>
        <w:rPr>
          <w:color w:val="auto"/>
          <w:highlight w:val="none"/>
        </w:rPr>
      </w:pPr>
      <w:r>
        <w:rPr>
          <w:color w:val="auto"/>
          <w:highlight w:val="none"/>
        </w:rPr>
        <w:t>电  话：</w:t>
      </w:r>
      <w:r>
        <w:rPr>
          <w:rFonts w:hint="eastAsia"/>
          <w:color w:val="auto"/>
          <w:highlight w:val="none"/>
          <w:lang w:val="en-US" w:eastAsia="zh-CN"/>
        </w:rPr>
        <w:t>18716639943</w:t>
      </w:r>
      <w:r>
        <w:rPr>
          <w:rFonts w:hint="eastAsia"/>
          <w:color w:val="auto"/>
          <w:highlight w:val="none"/>
        </w:rPr>
        <w:t xml:space="preserve"> </w:t>
      </w:r>
    </w:p>
    <w:p>
      <w:pPr>
        <w:ind w:firstLine="480" w:firstLineChars="200"/>
        <w:rPr>
          <w:color w:val="auto"/>
          <w:highlight w:val="none"/>
        </w:rPr>
      </w:pPr>
      <w:r>
        <w:rPr>
          <w:color w:val="auto"/>
          <w:highlight w:val="none"/>
        </w:rPr>
        <w:t>地  址：</w:t>
      </w:r>
      <w:r>
        <w:rPr>
          <w:rFonts w:hint="eastAsia"/>
          <w:color w:val="auto"/>
          <w:highlight w:val="none"/>
          <w:lang w:val="en-US" w:eastAsia="zh-CN"/>
        </w:rPr>
        <w:t>重庆市高新区含谷镇高龙大道</w:t>
      </w:r>
      <w:r>
        <w:rPr>
          <w:rFonts w:hint="eastAsia"/>
          <w:color w:val="auto"/>
          <w:highlight w:val="none"/>
        </w:rPr>
        <w:t xml:space="preserve"> </w:t>
      </w:r>
    </w:p>
    <w:p>
      <w:pPr>
        <w:ind w:firstLine="480" w:firstLineChars="200"/>
        <w:rPr>
          <w:color w:val="auto"/>
          <w:highlight w:val="none"/>
        </w:rPr>
      </w:pPr>
      <w:r>
        <w:rPr>
          <w:color w:val="auto"/>
          <w:highlight w:val="none"/>
        </w:rPr>
        <w:t>（二）采购人：</w:t>
      </w:r>
      <w:r>
        <w:rPr>
          <w:rFonts w:hint="eastAsia"/>
          <w:color w:val="auto"/>
          <w:highlight w:val="none"/>
        </w:rPr>
        <w:t>重庆市江津区电力建筑安装工程有限责任公司</w:t>
      </w:r>
    </w:p>
    <w:p>
      <w:pPr>
        <w:ind w:firstLine="480" w:firstLineChars="200"/>
        <w:rPr>
          <w:color w:val="auto"/>
          <w:highlight w:val="none"/>
        </w:rPr>
      </w:pPr>
      <w:r>
        <w:rPr>
          <w:color w:val="auto"/>
          <w:highlight w:val="none"/>
        </w:rPr>
        <w:t>电  话：023-</w:t>
      </w:r>
      <w:r>
        <w:rPr>
          <w:rFonts w:hint="eastAsia"/>
          <w:color w:val="auto"/>
          <w:highlight w:val="none"/>
        </w:rPr>
        <w:t>47512723</w:t>
      </w:r>
    </w:p>
    <w:p>
      <w:pPr>
        <w:ind w:firstLine="480" w:firstLineChars="200"/>
        <w:rPr>
          <w:color w:val="auto"/>
          <w:highlight w:val="none"/>
        </w:rPr>
        <w:sectPr>
          <w:headerReference r:id="rId10" w:type="default"/>
          <w:footerReference r:id="rId11" w:type="default"/>
          <w:pgSz w:w="11907" w:h="16840"/>
          <w:pgMar w:top="1134" w:right="1418" w:bottom="1134" w:left="1418" w:header="964" w:footer="992" w:gutter="0"/>
          <w:pgNumType w:fmt="numberInDash"/>
          <w:cols w:space="720" w:num="1"/>
          <w:docGrid w:linePitch="380" w:charSpace="0"/>
        </w:sectPr>
      </w:pPr>
      <w:r>
        <w:rPr>
          <w:color w:val="auto"/>
          <w:highlight w:val="none"/>
        </w:rPr>
        <w:t>地  址：</w:t>
      </w:r>
      <w:r>
        <w:rPr>
          <w:rFonts w:hint="eastAsia"/>
          <w:color w:val="auto"/>
          <w:highlight w:val="none"/>
        </w:rPr>
        <w:t>重庆市江津区鼎山街道鼎山大道772号(明月天意1幢)5楼</w:t>
      </w:r>
    </w:p>
    <w:p>
      <w:pPr>
        <w:pStyle w:val="3"/>
        <w:rPr>
          <w:color w:val="auto"/>
          <w:highlight w:val="none"/>
        </w:rPr>
      </w:pPr>
      <w:bookmarkStart w:id="68" w:name="_Toc32329210"/>
      <w:bookmarkStart w:id="69" w:name="_Toc32329122"/>
      <w:bookmarkStart w:id="70" w:name="_Toc32329069"/>
      <w:bookmarkStart w:id="71" w:name="_Toc32329168"/>
      <w:bookmarkStart w:id="72" w:name="_Toc493506289"/>
      <w:bookmarkStart w:id="73" w:name="_Toc484196058"/>
      <w:r>
        <w:rPr>
          <w:color w:val="auto"/>
          <w:highlight w:val="none"/>
        </w:rPr>
        <w:t>第二篇  采购项目内容及要求</w:t>
      </w:r>
      <w:bookmarkEnd w:id="68"/>
      <w:bookmarkEnd w:id="69"/>
      <w:bookmarkEnd w:id="70"/>
      <w:bookmarkEnd w:id="71"/>
    </w:p>
    <w:p>
      <w:pPr>
        <w:ind w:firstLine="480" w:firstLineChars="200"/>
        <w:rPr>
          <w:rFonts w:hint="default" w:eastAsia="方正仿宋_GBK" w:cs="宋体"/>
          <w:color w:val="auto"/>
          <w:highlight w:val="none"/>
          <w:lang w:val="en-US" w:eastAsia="zh-CN"/>
        </w:rPr>
      </w:pPr>
      <w:r>
        <w:rPr>
          <w:rFonts w:hint="eastAsia" w:cs="宋体"/>
          <w:color w:val="auto"/>
          <w:highlight w:val="none"/>
        </w:rPr>
        <w:t>（一）采购项目名称：江津区2022年石蟆镇杨柳村片区丘陵山区高标准农田改造提升示范项目</w:t>
      </w:r>
      <w:r>
        <w:rPr>
          <w:rFonts w:hint="eastAsia" w:cs="宋体"/>
          <w:color w:val="auto"/>
          <w:highlight w:val="none"/>
          <w:lang w:val="en-US" w:eastAsia="zh-CN"/>
        </w:rPr>
        <w:t>材料供应商采购</w:t>
      </w:r>
    </w:p>
    <w:p>
      <w:pPr>
        <w:ind w:firstLine="480" w:firstLineChars="200"/>
        <w:jc w:val="left"/>
        <w:rPr>
          <w:rFonts w:cs="宋体"/>
          <w:color w:val="auto"/>
          <w:highlight w:val="none"/>
        </w:rPr>
      </w:pPr>
      <w:r>
        <w:rPr>
          <w:rFonts w:hint="eastAsia" w:cs="宋体"/>
          <w:color w:val="auto"/>
          <w:highlight w:val="none"/>
        </w:rPr>
        <w:t>（二）采购内容及要求：详见材料供应合同</w:t>
      </w:r>
      <w:r>
        <w:rPr>
          <w:rFonts w:hint="eastAsia" w:cs="宋体"/>
          <w:color w:val="auto"/>
          <w:highlight w:val="none"/>
          <w:lang w:eastAsia="zh-CN"/>
        </w:rPr>
        <w:t>（</w:t>
      </w:r>
      <w:r>
        <w:rPr>
          <w:rFonts w:hint="eastAsia" w:cs="宋体"/>
          <w:color w:val="auto"/>
          <w:highlight w:val="none"/>
          <w:lang w:val="en-US" w:eastAsia="zh-CN"/>
        </w:rPr>
        <w:t>附件3</w:t>
      </w:r>
      <w:r>
        <w:rPr>
          <w:rFonts w:hint="eastAsia" w:cs="宋体"/>
          <w:color w:val="auto"/>
          <w:highlight w:val="none"/>
          <w:lang w:eastAsia="zh-CN"/>
        </w:rPr>
        <w:t>）</w:t>
      </w:r>
      <w:r>
        <w:rPr>
          <w:rFonts w:hint="eastAsia" w:cs="宋体"/>
          <w:color w:val="auto"/>
          <w:highlight w:val="none"/>
        </w:rPr>
        <w:t>、采购清单附件。</w:t>
      </w:r>
    </w:p>
    <w:p>
      <w:pPr>
        <w:ind w:firstLine="480" w:firstLineChars="200"/>
        <w:jc w:val="center"/>
        <w:rPr>
          <w:b/>
          <w:color w:val="auto"/>
          <w:kern w:val="44"/>
          <w:sz w:val="36"/>
          <w:szCs w:val="22"/>
          <w:highlight w:val="none"/>
        </w:rPr>
      </w:pPr>
      <w:r>
        <w:rPr>
          <w:rFonts w:hint="eastAsia" w:cs="宋体"/>
          <w:color w:val="auto"/>
          <w:highlight w:val="none"/>
        </w:rPr>
        <w:br w:type="page"/>
      </w:r>
      <w:bookmarkStart w:id="74" w:name="_Toc32329123"/>
      <w:bookmarkStart w:id="75" w:name="_Toc32329169"/>
      <w:bookmarkStart w:id="76" w:name="_Toc32329070"/>
      <w:bookmarkStart w:id="77" w:name="_Toc32329211"/>
      <w:r>
        <w:rPr>
          <w:b/>
          <w:color w:val="auto"/>
          <w:kern w:val="44"/>
          <w:sz w:val="36"/>
          <w:szCs w:val="22"/>
          <w:highlight w:val="none"/>
        </w:rPr>
        <w:t>第三篇  项目商务要求</w:t>
      </w:r>
      <w:bookmarkEnd w:id="72"/>
      <w:bookmarkEnd w:id="74"/>
      <w:bookmarkEnd w:id="75"/>
      <w:bookmarkEnd w:id="76"/>
      <w:bookmarkEnd w:id="77"/>
      <w:bookmarkStart w:id="78" w:name="_Toc267320049"/>
      <w:bookmarkStart w:id="79" w:name="_Toc493506290"/>
    </w:p>
    <w:p>
      <w:pPr>
        <w:pStyle w:val="4"/>
        <w:ind w:firstLine="480"/>
        <w:rPr>
          <w:color w:val="auto"/>
          <w:highlight w:val="none"/>
        </w:rPr>
      </w:pPr>
      <w:bookmarkStart w:id="80" w:name="_Toc36064000"/>
      <w:bookmarkStart w:id="81" w:name="_Toc32329071"/>
      <w:bookmarkStart w:id="82" w:name="_Toc36064036"/>
      <w:bookmarkStart w:id="83" w:name="_Toc32329124"/>
      <w:bookmarkStart w:id="84" w:name="_Toc32329170"/>
      <w:bookmarkStart w:id="85" w:name="_Toc32329212"/>
      <w:bookmarkStart w:id="86" w:name="_Toc36064072"/>
    </w:p>
    <w:p>
      <w:pPr>
        <w:keepNext/>
        <w:keepLines/>
        <w:spacing w:line="480" w:lineRule="exact"/>
        <w:ind w:firstLine="482" w:firstLineChars="200"/>
        <w:outlineLvl w:val="2"/>
        <w:rPr>
          <w:rFonts w:ascii="方正仿宋_GBK" w:hAnsi="宋体"/>
          <w:b/>
          <w:color w:val="auto"/>
          <w:szCs w:val="24"/>
          <w:highlight w:val="none"/>
        </w:rPr>
      </w:pPr>
      <w:bookmarkStart w:id="87" w:name="_Toc27139"/>
      <w:bookmarkStart w:id="88" w:name="_Toc344475120"/>
      <w:bookmarkStart w:id="89" w:name="_Toc109210540"/>
      <w:bookmarkStart w:id="90" w:name="_Toc95918316"/>
      <w:r>
        <w:rPr>
          <w:rFonts w:hint="eastAsia" w:ascii="方正仿宋_GBK"/>
          <w:b/>
          <w:color w:val="auto"/>
          <w:szCs w:val="24"/>
          <w:highlight w:val="none"/>
        </w:rPr>
        <w:t>一</w:t>
      </w:r>
      <w:bookmarkEnd w:id="87"/>
      <w:bookmarkEnd w:id="88"/>
      <w:bookmarkEnd w:id="89"/>
      <w:bookmarkEnd w:id="90"/>
      <w:bookmarkStart w:id="91" w:name="_Toc109210541"/>
      <w:bookmarkStart w:id="92" w:name="_Toc8840"/>
      <w:bookmarkStart w:id="93" w:name="_Toc5982"/>
      <w:r>
        <w:rPr>
          <w:rFonts w:hint="eastAsia" w:ascii="方正仿宋_GBK" w:hAnsi="宋体"/>
          <w:b/>
          <w:color w:val="auto"/>
          <w:szCs w:val="24"/>
          <w:highlight w:val="none"/>
        </w:rPr>
        <w:t>、报价要求</w:t>
      </w:r>
      <w:bookmarkEnd w:id="91"/>
      <w:bookmarkEnd w:id="92"/>
    </w:p>
    <w:p>
      <w:pPr>
        <w:ind w:firstLine="480" w:firstLineChars="200"/>
        <w:rPr>
          <w:color w:val="auto"/>
          <w:highlight w:val="none"/>
        </w:rPr>
      </w:pPr>
      <w:r>
        <w:rPr>
          <w:rFonts w:hint="eastAsia"/>
          <w:color w:val="auto"/>
          <w:highlight w:val="none"/>
        </w:rPr>
        <w:t>本次报价须为人民币包干报价，项目采购清单单价为含税固定单价，包括但不限于原材料采购及加工成本、包装费、运输及装卸费、装卸损耗费、保险费，试验、检验费，以及利润、增值税、二次搬运费、安装、调试、检验检测等一切费用。因成交供应商自身原因造成漏报、少报皆由其自行承担责任，采购人不再补偿。</w:t>
      </w:r>
    </w:p>
    <w:p>
      <w:pPr>
        <w:ind w:firstLine="480" w:firstLineChars="200"/>
        <w:rPr>
          <w:color w:val="auto"/>
          <w:highlight w:val="none"/>
        </w:rPr>
      </w:pPr>
      <w:r>
        <w:rPr>
          <w:rFonts w:hint="eastAsia"/>
          <w:color w:val="auto"/>
          <w:highlight w:val="none"/>
        </w:rPr>
        <w:t>本项目采用工程量清单全费用综合单价的报价方式，固定综合单价计价。本项目设置投标总报价最高限价和全部清单综合单价最高限价</w:t>
      </w:r>
      <w:r>
        <w:rPr>
          <w:rFonts w:hint="eastAsia"/>
          <w:color w:val="auto"/>
          <w:highlight w:val="none"/>
          <w:lang w:eastAsia="zh-CN"/>
        </w:rPr>
        <w:t>（</w:t>
      </w:r>
      <w:r>
        <w:rPr>
          <w:rFonts w:hint="eastAsia"/>
          <w:color w:val="auto"/>
          <w:highlight w:val="none"/>
          <w:lang w:val="en-US" w:eastAsia="zh-CN"/>
        </w:rPr>
        <w:t>附件2</w:t>
      </w:r>
      <w:r>
        <w:rPr>
          <w:rFonts w:hint="eastAsia"/>
          <w:color w:val="auto"/>
          <w:highlight w:val="none"/>
          <w:lang w:eastAsia="zh-CN"/>
        </w:rPr>
        <w:t>）</w:t>
      </w:r>
      <w:r>
        <w:rPr>
          <w:rFonts w:hint="eastAsia"/>
          <w:color w:val="auto"/>
          <w:highlight w:val="none"/>
        </w:rPr>
        <w:t>，投标人的投标总报价不得超过投标总报价最高限价，投标人的投标综合单价不得超过全部清单综合单价最高限价，否则评审小组作否决投标处理。</w:t>
      </w:r>
    </w:p>
    <w:p>
      <w:pPr>
        <w:keepNext/>
        <w:keepLines/>
        <w:spacing w:line="480" w:lineRule="exact"/>
        <w:ind w:firstLine="482" w:firstLineChars="200"/>
        <w:outlineLvl w:val="2"/>
        <w:rPr>
          <w:rFonts w:ascii="方正仿宋_GBK" w:hAnsi="宋体" w:cs="宋体"/>
          <w:color w:val="auto"/>
          <w:kern w:val="0"/>
          <w:szCs w:val="24"/>
          <w:highlight w:val="none"/>
        </w:rPr>
      </w:pPr>
      <w:r>
        <w:rPr>
          <w:rFonts w:hint="eastAsia" w:ascii="方正仿宋_GBK" w:hAnsi="宋体"/>
          <w:b/>
          <w:color w:val="auto"/>
          <w:szCs w:val="24"/>
          <w:highlight w:val="none"/>
        </w:rPr>
        <w:t>二、</w:t>
      </w:r>
      <w:r>
        <w:rPr>
          <w:rFonts w:hint="eastAsia" w:ascii="方正仿宋_GBK" w:hAnsi="宋体" w:cs="宋体"/>
          <w:color w:val="auto"/>
          <w:kern w:val="0"/>
          <w:szCs w:val="24"/>
          <w:highlight w:val="none"/>
        </w:rPr>
        <w:t>付款方式、结算方式、服务期、质量保证、售后服务、验收方式、履约担保等事宜详见材料供应合同</w:t>
      </w:r>
      <w:r>
        <w:rPr>
          <w:rFonts w:hint="eastAsia" w:ascii="方正仿宋_GBK" w:hAnsi="宋体" w:cs="宋体"/>
          <w:color w:val="auto"/>
          <w:kern w:val="0"/>
          <w:szCs w:val="24"/>
          <w:highlight w:val="none"/>
          <w:lang w:eastAsia="zh-CN"/>
        </w:rPr>
        <w:t>（</w:t>
      </w:r>
      <w:r>
        <w:rPr>
          <w:rFonts w:hint="eastAsia" w:ascii="方正仿宋_GBK" w:hAnsi="宋体" w:cs="宋体"/>
          <w:color w:val="auto"/>
          <w:kern w:val="0"/>
          <w:szCs w:val="24"/>
          <w:highlight w:val="none"/>
          <w:lang w:val="en-US" w:eastAsia="zh-CN"/>
        </w:rPr>
        <w:t>附件3</w:t>
      </w:r>
      <w:r>
        <w:rPr>
          <w:rFonts w:hint="eastAsia" w:ascii="方正仿宋_GBK" w:hAnsi="宋体" w:cs="宋体"/>
          <w:color w:val="auto"/>
          <w:kern w:val="0"/>
          <w:szCs w:val="24"/>
          <w:highlight w:val="none"/>
          <w:lang w:eastAsia="zh-CN"/>
        </w:rPr>
        <w:t>）</w:t>
      </w:r>
      <w:r>
        <w:rPr>
          <w:rFonts w:hint="eastAsia" w:ascii="方正仿宋_GBK" w:hAnsi="宋体" w:cs="宋体"/>
          <w:color w:val="auto"/>
          <w:kern w:val="0"/>
          <w:szCs w:val="24"/>
          <w:highlight w:val="none"/>
        </w:rPr>
        <w:t>。</w:t>
      </w:r>
    </w:p>
    <w:p>
      <w:pPr>
        <w:keepNext/>
        <w:keepLines/>
        <w:ind w:firstLine="482" w:firstLineChars="200"/>
        <w:outlineLvl w:val="2"/>
        <w:rPr>
          <w:rFonts w:ascii="方正仿宋_GBK" w:hAnsi="宋体"/>
          <w:b/>
          <w:color w:val="auto"/>
          <w:szCs w:val="24"/>
          <w:highlight w:val="none"/>
        </w:rPr>
      </w:pPr>
      <w:bookmarkStart w:id="94" w:name="_Toc344475123"/>
      <w:bookmarkStart w:id="95" w:name="_Toc30671"/>
      <w:bookmarkStart w:id="96" w:name="_Toc109210543"/>
      <w:bookmarkStart w:id="97" w:name="_Toc30340"/>
      <w:r>
        <w:rPr>
          <w:rFonts w:hint="eastAsia" w:ascii="方正仿宋_GBK" w:hAnsi="宋体"/>
          <w:b/>
          <w:color w:val="auto"/>
          <w:szCs w:val="24"/>
          <w:highlight w:val="none"/>
        </w:rPr>
        <w:t>三、</w:t>
      </w:r>
      <w:bookmarkEnd w:id="94"/>
      <w:bookmarkEnd w:id="95"/>
      <w:bookmarkEnd w:id="96"/>
      <w:bookmarkEnd w:id="97"/>
      <w:bookmarkStart w:id="98" w:name="_Toc13354"/>
      <w:bookmarkStart w:id="99" w:name="_Toc8022"/>
      <w:bookmarkStart w:id="100" w:name="_Toc109210544"/>
      <w:bookmarkStart w:id="101" w:name="_Toc344475125"/>
      <w:r>
        <w:rPr>
          <w:rFonts w:hint="eastAsia" w:ascii="方正仿宋_GBK" w:hAnsi="宋体"/>
          <w:b/>
          <w:color w:val="auto"/>
          <w:szCs w:val="24"/>
          <w:highlight w:val="none"/>
        </w:rPr>
        <w:t>其他</w:t>
      </w:r>
      <w:bookmarkEnd w:id="98"/>
      <w:bookmarkEnd w:id="99"/>
      <w:bookmarkEnd w:id="100"/>
    </w:p>
    <w:bookmarkEnd w:id="101"/>
    <w:p>
      <w:pPr>
        <w:snapToGrid w:val="0"/>
        <w:ind w:firstLine="480" w:firstLineChars="200"/>
        <w:outlineLvl w:val="0"/>
        <w:rPr>
          <w:rFonts w:ascii="方正仿宋_GBK" w:hAnsi="宋体" w:cs="宋体"/>
          <w:color w:val="auto"/>
          <w:kern w:val="0"/>
          <w:szCs w:val="24"/>
          <w:highlight w:val="none"/>
        </w:rPr>
      </w:pPr>
      <w:r>
        <w:rPr>
          <w:rFonts w:hint="eastAsia" w:ascii="方正仿宋_GBK" w:hAnsi="宋体"/>
          <w:color w:val="auto"/>
          <w:szCs w:val="24"/>
          <w:highlight w:val="none"/>
        </w:rPr>
        <w:t>（一）</w:t>
      </w:r>
      <w:r>
        <w:rPr>
          <w:rFonts w:hint="eastAsia" w:ascii="方正仿宋_GBK" w:hAnsi="宋体" w:cs="宋体"/>
          <w:color w:val="auto"/>
          <w:kern w:val="0"/>
          <w:szCs w:val="24"/>
          <w:highlight w:val="none"/>
        </w:rPr>
        <w:t>供应商必须在响应文件中对以上条款和服务承诺明确列出，承诺内容必须达到本篇及磋商文件其他条款的要求。</w:t>
      </w:r>
    </w:p>
    <w:p>
      <w:pPr>
        <w:pStyle w:val="4"/>
        <w:ind w:firstLine="480"/>
        <w:rPr>
          <w:rFonts w:ascii="方正仿宋_GBK" w:hAnsi="宋体" w:cs="宋体"/>
          <w:b w:val="0"/>
          <w:color w:val="auto"/>
          <w:kern w:val="0"/>
          <w:szCs w:val="24"/>
          <w:highlight w:val="none"/>
        </w:rPr>
      </w:pPr>
      <w:r>
        <w:rPr>
          <w:rFonts w:hint="eastAsia" w:ascii="方正仿宋_GBK" w:hAnsi="宋体" w:cs="宋体"/>
          <w:b w:val="0"/>
          <w:color w:val="auto"/>
          <w:kern w:val="0"/>
          <w:szCs w:val="24"/>
          <w:highlight w:val="none"/>
        </w:rPr>
        <w:t>（二）其他未尽事宜由供需双方在材料供应合同</w:t>
      </w:r>
      <w:r>
        <w:rPr>
          <w:rFonts w:hint="eastAsia" w:ascii="方正仿宋_GBK" w:hAnsi="宋体" w:cs="宋体"/>
          <w:b w:val="0"/>
          <w:color w:val="auto"/>
          <w:kern w:val="0"/>
          <w:szCs w:val="24"/>
          <w:highlight w:val="none"/>
          <w:lang w:eastAsia="zh-CN"/>
        </w:rPr>
        <w:t>（</w:t>
      </w:r>
      <w:r>
        <w:rPr>
          <w:rFonts w:hint="eastAsia" w:ascii="方正仿宋_GBK" w:hAnsi="宋体" w:cs="宋体"/>
          <w:b w:val="0"/>
          <w:color w:val="auto"/>
          <w:kern w:val="0"/>
          <w:szCs w:val="24"/>
          <w:highlight w:val="none"/>
          <w:lang w:val="en-US" w:eastAsia="zh-CN"/>
        </w:rPr>
        <w:t>附件3</w:t>
      </w:r>
      <w:r>
        <w:rPr>
          <w:rFonts w:hint="eastAsia" w:ascii="方正仿宋_GBK" w:hAnsi="宋体" w:cs="宋体"/>
          <w:b w:val="0"/>
          <w:color w:val="auto"/>
          <w:kern w:val="0"/>
          <w:szCs w:val="24"/>
          <w:highlight w:val="none"/>
          <w:lang w:eastAsia="zh-CN"/>
        </w:rPr>
        <w:t>）</w:t>
      </w:r>
      <w:r>
        <w:rPr>
          <w:rFonts w:hint="eastAsia" w:ascii="方正仿宋_GBK" w:hAnsi="宋体" w:cs="宋体"/>
          <w:b w:val="0"/>
          <w:color w:val="auto"/>
          <w:kern w:val="0"/>
          <w:szCs w:val="24"/>
          <w:highlight w:val="none"/>
        </w:rPr>
        <w:t>中详细约定。</w:t>
      </w:r>
      <w:bookmarkEnd w:id="93"/>
    </w:p>
    <w:bookmarkEnd w:id="78"/>
    <w:bookmarkEnd w:id="79"/>
    <w:bookmarkEnd w:id="80"/>
    <w:bookmarkEnd w:id="81"/>
    <w:bookmarkEnd w:id="82"/>
    <w:bookmarkEnd w:id="83"/>
    <w:bookmarkEnd w:id="84"/>
    <w:bookmarkEnd w:id="85"/>
    <w:bookmarkEnd w:id="86"/>
    <w:p>
      <w:pPr>
        <w:pStyle w:val="4"/>
        <w:ind w:firstLine="480"/>
        <w:rPr>
          <w:color w:val="auto"/>
          <w:highlight w:val="none"/>
        </w:rPr>
      </w:pPr>
    </w:p>
    <w:p>
      <w:pPr>
        <w:pStyle w:val="3"/>
        <w:spacing w:line="240" w:lineRule="auto"/>
        <w:rPr>
          <w:color w:val="auto"/>
          <w:highlight w:val="none"/>
        </w:rPr>
      </w:pPr>
      <w:r>
        <w:rPr>
          <w:color w:val="auto"/>
          <w:highlight w:val="none"/>
        </w:rPr>
        <w:br w:type="page"/>
      </w:r>
      <w:bookmarkStart w:id="102" w:name="_Toc36064079"/>
      <w:bookmarkStart w:id="103" w:name="_Toc36064043"/>
      <w:bookmarkStart w:id="104" w:name="_Toc32329131"/>
      <w:bookmarkStart w:id="105" w:name="_Toc32329177"/>
      <w:bookmarkStart w:id="106" w:name="_Toc36064007"/>
      <w:bookmarkStart w:id="107" w:name="_Toc32329078"/>
      <w:bookmarkStart w:id="108" w:name="_Toc32329219"/>
      <w:r>
        <w:rPr>
          <w:color w:val="auto"/>
          <w:highlight w:val="none"/>
        </w:rPr>
        <w:t>第四篇  磋商程序、评审方法和评审标准</w:t>
      </w:r>
      <w:bookmarkEnd w:id="73"/>
      <w:bookmarkEnd w:id="102"/>
      <w:bookmarkEnd w:id="103"/>
      <w:bookmarkEnd w:id="104"/>
      <w:bookmarkEnd w:id="105"/>
      <w:bookmarkEnd w:id="106"/>
      <w:bookmarkEnd w:id="107"/>
      <w:bookmarkEnd w:id="108"/>
    </w:p>
    <w:p>
      <w:pPr>
        <w:pStyle w:val="4"/>
        <w:ind w:firstLine="480"/>
        <w:rPr>
          <w:color w:val="auto"/>
          <w:highlight w:val="none"/>
        </w:rPr>
      </w:pPr>
      <w:bookmarkStart w:id="109" w:name="_Toc32329178"/>
      <w:bookmarkStart w:id="110" w:name="_Toc36064080"/>
      <w:bookmarkStart w:id="111" w:name="_Toc32329220"/>
      <w:bookmarkStart w:id="112" w:name="_Toc32329132"/>
      <w:bookmarkStart w:id="113" w:name="_Toc36064044"/>
      <w:bookmarkStart w:id="114" w:name="_Toc36064008"/>
      <w:bookmarkStart w:id="115" w:name="_Toc32329079"/>
      <w:r>
        <w:rPr>
          <w:color w:val="auto"/>
          <w:highlight w:val="none"/>
        </w:rPr>
        <w:t>一、磋商程序</w:t>
      </w:r>
      <w:r>
        <w:rPr>
          <w:rFonts w:hint="eastAsia"/>
          <w:color w:val="auto"/>
          <w:highlight w:val="none"/>
        </w:rPr>
        <w:t>、</w:t>
      </w:r>
      <w:r>
        <w:rPr>
          <w:color w:val="auto"/>
          <w:highlight w:val="none"/>
        </w:rPr>
        <w:t>方法</w:t>
      </w:r>
      <w:bookmarkEnd w:id="109"/>
      <w:bookmarkEnd w:id="110"/>
      <w:bookmarkEnd w:id="111"/>
      <w:bookmarkEnd w:id="112"/>
      <w:bookmarkEnd w:id="113"/>
      <w:bookmarkEnd w:id="114"/>
      <w:bookmarkEnd w:id="115"/>
      <w:r>
        <w:rPr>
          <w:rFonts w:hint="eastAsia"/>
          <w:color w:val="auto"/>
          <w:highlight w:val="none"/>
        </w:rPr>
        <w:t>及要求</w:t>
      </w:r>
    </w:p>
    <w:p>
      <w:pPr>
        <w:ind w:firstLine="480" w:firstLineChars="200"/>
        <w:rPr>
          <w:color w:val="auto"/>
          <w:highlight w:val="none"/>
        </w:rPr>
      </w:pPr>
      <w:r>
        <w:rPr>
          <w:color w:val="auto"/>
          <w:highlight w:val="none"/>
        </w:rPr>
        <w:t>（一）磋商按竞争性磋商文件规定的时间和地点进行，</w:t>
      </w:r>
      <w:r>
        <w:rPr>
          <w:rFonts w:hint="eastAsia"/>
          <w:color w:val="auto"/>
          <w:highlight w:val="none"/>
        </w:rPr>
        <w:t>供应商</w:t>
      </w:r>
      <w:r>
        <w:rPr>
          <w:color w:val="auto"/>
          <w:highlight w:val="none"/>
        </w:rPr>
        <w:t>须有法定代表人或其授权代表参加并签到</w:t>
      </w:r>
      <w:r>
        <w:rPr>
          <w:rFonts w:hint="eastAsia"/>
          <w:color w:val="auto"/>
          <w:highlight w:val="none"/>
        </w:rPr>
        <w:t>，</w:t>
      </w:r>
      <w:r>
        <w:rPr>
          <w:color w:val="auto"/>
          <w:highlight w:val="none"/>
        </w:rPr>
        <w:t>由本项目依法组建的</w:t>
      </w:r>
      <w:r>
        <w:rPr>
          <w:rFonts w:hint="eastAsia"/>
          <w:color w:val="auto"/>
          <w:highlight w:val="none"/>
        </w:rPr>
        <w:t>磋商评审小组组织</w:t>
      </w:r>
      <w:r>
        <w:rPr>
          <w:color w:val="auto"/>
          <w:highlight w:val="none"/>
        </w:rPr>
        <w:t>磋商。</w:t>
      </w:r>
    </w:p>
    <w:p>
      <w:pPr>
        <w:ind w:firstLine="480" w:firstLineChars="200"/>
        <w:rPr>
          <w:color w:val="auto"/>
          <w:highlight w:val="none"/>
        </w:rPr>
      </w:pPr>
      <w:r>
        <w:rPr>
          <w:color w:val="auto"/>
          <w:highlight w:val="none"/>
        </w:rPr>
        <w:t>（二）磋商</w:t>
      </w:r>
      <w:r>
        <w:rPr>
          <w:rFonts w:hint="eastAsia"/>
          <w:color w:val="auto"/>
          <w:highlight w:val="none"/>
        </w:rPr>
        <w:t>评审</w:t>
      </w:r>
      <w:r>
        <w:rPr>
          <w:color w:val="auto"/>
          <w:highlight w:val="none"/>
        </w:rPr>
        <w:t>小组对各</w:t>
      </w:r>
      <w:r>
        <w:rPr>
          <w:rFonts w:hint="eastAsia"/>
          <w:color w:val="auto"/>
          <w:highlight w:val="none"/>
        </w:rPr>
        <w:t>供应商</w:t>
      </w:r>
      <w:r>
        <w:rPr>
          <w:color w:val="auto"/>
          <w:highlight w:val="none"/>
        </w:rPr>
        <w:t>的资格条件、响应文件的有效性、完整性和响应程度进行审查。各</w:t>
      </w:r>
      <w:r>
        <w:rPr>
          <w:rFonts w:hint="eastAsia"/>
          <w:color w:val="auto"/>
          <w:highlight w:val="none"/>
        </w:rPr>
        <w:t>供应商</w:t>
      </w:r>
      <w:r>
        <w:rPr>
          <w:color w:val="auto"/>
          <w:highlight w:val="none"/>
        </w:rPr>
        <w:t>只有在完全符合要求的前提下，才能参与正式磋商。</w:t>
      </w:r>
    </w:p>
    <w:p>
      <w:pPr>
        <w:ind w:firstLine="480" w:firstLineChars="200"/>
        <w:rPr>
          <w:color w:val="auto"/>
          <w:highlight w:val="none"/>
        </w:rPr>
      </w:pPr>
      <w:r>
        <w:rPr>
          <w:color w:val="auto"/>
          <w:highlight w:val="none"/>
        </w:rPr>
        <w:t>1、资格性检查。依据法律法规和竞争性磋商文件的规定，对响应文件中的资格证明、</w:t>
      </w:r>
      <w:r>
        <w:rPr>
          <w:rFonts w:hint="eastAsia"/>
          <w:color w:val="auto"/>
          <w:highlight w:val="none"/>
          <w:lang w:eastAsia="zh-CN"/>
        </w:rPr>
        <w:t>投标保证金</w:t>
      </w:r>
      <w:r>
        <w:rPr>
          <w:color w:val="auto"/>
          <w:highlight w:val="none"/>
        </w:rPr>
        <w:t>等进行审查，以确定</w:t>
      </w:r>
      <w:r>
        <w:rPr>
          <w:rFonts w:hint="eastAsia"/>
          <w:color w:val="auto"/>
          <w:highlight w:val="none"/>
        </w:rPr>
        <w:t>供应商</w:t>
      </w:r>
      <w:r>
        <w:rPr>
          <w:color w:val="auto"/>
          <w:highlight w:val="none"/>
        </w:rPr>
        <w:t>是否具备磋商资格。资格性检查资料表如下：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pPr>
              <w:spacing w:line="280" w:lineRule="exact"/>
              <w:jc w:val="center"/>
              <w:rPr>
                <w:color w:val="auto"/>
                <w:sz w:val="21"/>
                <w:szCs w:val="21"/>
                <w:highlight w:val="none"/>
              </w:rPr>
            </w:pPr>
            <w:r>
              <w:rPr>
                <w:color w:val="auto"/>
                <w:sz w:val="21"/>
                <w:szCs w:val="21"/>
                <w:highlight w:val="none"/>
              </w:rPr>
              <w:t>序号</w:t>
            </w:r>
          </w:p>
        </w:tc>
        <w:tc>
          <w:tcPr>
            <w:tcW w:w="5388" w:type="dxa"/>
            <w:gridSpan w:val="2"/>
            <w:vAlign w:val="center"/>
          </w:tcPr>
          <w:p>
            <w:pPr>
              <w:spacing w:line="280" w:lineRule="exact"/>
              <w:jc w:val="center"/>
              <w:rPr>
                <w:color w:val="auto"/>
                <w:sz w:val="21"/>
                <w:szCs w:val="21"/>
                <w:highlight w:val="none"/>
              </w:rPr>
            </w:pPr>
            <w:r>
              <w:rPr>
                <w:color w:val="auto"/>
                <w:sz w:val="21"/>
                <w:szCs w:val="21"/>
                <w:highlight w:val="none"/>
              </w:rPr>
              <w:t>检查因素</w:t>
            </w:r>
          </w:p>
        </w:tc>
        <w:tc>
          <w:tcPr>
            <w:tcW w:w="3564" w:type="dxa"/>
            <w:vAlign w:val="center"/>
          </w:tcPr>
          <w:p>
            <w:pPr>
              <w:spacing w:line="280" w:lineRule="exact"/>
              <w:jc w:val="center"/>
              <w:rPr>
                <w:color w:val="auto"/>
                <w:sz w:val="21"/>
                <w:szCs w:val="21"/>
                <w:highlight w:val="none"/>
              </w:rPr>
            </w:pPr>
            <w:r>
              <w:rPr>
                <w:color w:val="auto"/>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676" w:type="dxa"/>
            <w:vMerge w:val="restart"/>
            <w:vAlign w:val="center"/>
          </w:tcPr>
          <w:p>
            <w:pPr>
              <w:spacing w:line="280" w:lineRule="exact"/>
              <w:rPr>
                <w:color w:val="auto"/>
                <w:sz w:val="21"/>
                <w:szCs w:val="21"/>
                <w:highlight w:val="none"/>
              </w:rPr>
            </w:pPr>
            <w:r>
              <w:rPr>
                <w:color w:val="auto"/>
                <w:sz w:val="21"/>
                <w:szCs w:val="21"/>
                <w:highlight w:val="none"/>
              </w:rPr>
              <w:t>1</w:t>
            </w:r>
          </w:p>
        </w:tc>
        <w:tc>
          <w:tcPr>
            <w:tcW w:w="709" w:type="dxa"/>
            <w:vMerge w:val="restart"/>
            <w:vAlign w:val="center"/>
          </w:tcPr>
          <w:p>
            <w:pPr>
              <w:spacing w:line="280" w:lineRule="exact"/>
              <w:rPr>
                <w:color w:val="auto"/>
                <w:sz w:val="21"/>
                <w:szCs w:val="21"/>
                <w:highlight w:val="none"/>
              </w:rPr>
            </w:pPr>
            <w:r>
              <w:rPr>
                <w:rFonts w:hint="eastAsia"/>
                <w:color w:val="auto"/>
                <w:sz w:val="21"/>
                <w:szCs w:val="21"/>
                <w:highlight w:val="none"/>
              </w:rPr>
              <w:t>供应商</w:t>
            </w:r>
            <w:r>
              <w:rPr>
                <w:color w:val="auto"/>
                <w:sz w:val="21"/>
                <w:szCs w:val="21"/>
                <w:highlight w:val="none"/>
              </w:rPr>
              <w:t>应符合的基本资格条件</w:t>
            </w:r>
          </w:p>
        </w:tc>
        <w:tc>
          <w:tcPr>
            <w:tcW w:w="4679" w:type="dxa"/>
            <w:vAlign w:val="center"/>
          </w:tcPr>
          <w:p>
            <w:pPr>
              <w:spacing w:line="280" w:lineRule="exact"/>
              <w:rPr>
                <w:color w:val="auto"/>
                <w:sz w:val="21"/>
                <w:szCs w:val="21"/>
                <w:highlight w:val="none"/>
              </w:rPr>
            </w:pPr>
            <w:r>
              <w:rPr>
                <w:color w:val="auto"/>
                <w:sz w:val="21"/>
                <w:szCs w:val="21"/>
                <w:highlight w:val="none"/>
              </w:rPr>
              <w:t>（1）具有独立承担民事责任的能力</w:t>
            </w:r>
          </w:p>
        </w:tc>
        <w:tc>
          <w:tcPr>
            <w:tcW w:w="3564" w:type="dxa"/>
            <w:vAlign w:val="center"/>
          </w:tcPr>
          <w:p>
            <w:pPr>
              <w:spacing w:line="280" w:lineRule="exact"/>
              <w:rPr>
                <w:color w:val="auto"/>
                <w:sz w:val="21"/>
                <w:szCs w:val="21"/>
                <w:highlight w:val="none"/>
              </w:rPr>
            </w:pPr>
            <w:r>
              <w:rPr>
                <w:rFonts w:hint="eastAsia"/>
                <w:color w:val="auto"/>
                <w:sz w:val="21"/>
                <w:szCs w:val="21"/>
                <w:highlight w:val="none"/>
              </w:rPr>
              <w:t>供应商</w:t>
            </w:r>
            <w:r>
              <w:rPr>
                <w:color w:val="auto"/>
                <w:sz w:val="21"/>
                <w:szCs w:val="21"/>
                <w:highlight w:val="none"/>
              </w:rPr>
              <w:t>营业执照、税务登记证、组织机构代码证复印件（可用具有统一社会信用代码的营业执照代替以上三证），以及</w:t>
            </w:r>
            <w:r>
              <w:rPr>
                <w:rFonts w:hint="eastAsia"/>
                <w:color w:val="auto"/>
                <w:sz w:val="21"/>
                <w:szCs w:val="21"/>
                <w:highlight w:val="none"/>
              </w:rPr>
              <w:t>供应商</w:t>
            </w:r>
            <w:r>
              <w:rPr>
                <w:color w:val="auto"/>
                <w:sz w:val="21"/>
                <w:szCs w:val="21"/>
                <w:highlight w:val="none"/>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676" w:type="dxa"/>
            <w:vMerge w:val="continue"/>
            <w:vAlign w:val="center"/>
          </w:tcPr>
          <w:p>
            <w:pPr>
              <w:rPr>
                <w:color w:val="auto"/>
                <w:highlight w:val="none"/>
              </w:rPr>
            </w:pPr>
          </w:p>
        </w:tc>
        <w:tc>
          <w:tcPr>
            <w:tcW w:w="709" w:type="dxa"/>
            <w:vMerge w:val="continue"/>
            <w:vAlign w:val="center"/>
          </w:tcPr>
          <w:p>
            <w:pPr>
              <w:rPr>
                <w:color w:val="auto"/>
                <w:highlight w:val="none"/>
              </w:rPr>
            </w:pPr>
          </w:p>
        </w:tc>
        <w:tc>
          <w:tcPr>
            <w:tcW w:w="4679" w:type="dxa"/>
            <w:vAlign w:val="center"/>
          </w:tcPr>
          <w:p>
            <w:pPr>
              <w:spacing w:line="280" w:lineRule="exact"/>
              <w:rPr>
                <w:color w:val="auto"/>
                <w:sz w:val="21"/>
                <w:szCs w:val="21"/>
                <w:highlight w:val="none"/>
              </w:rPr>
            </w:pPr>
            <w:r>
              <w:rPr>
                <w:color w:val="auto"/>
                <w:sz w:val="21"/>
                <w:szCs w:val="21"/>
                <w:highlight w:val="none"/>
              </w:rPr>
              <w:t>（2）具有良好的商业信誉和健全的财务会计制度</w:t>
            </w:r>
          </w:p>
        </w:tc>
        <w:tc>
          <w:tcPr>
            <w:tcW w:w="3564" w:type="dxa"/>
            <w:vMerge w:val="restart"/>
            <w:vAlign w:val="center"/>
          </w:tcPr>
          <w:p>
            <w:pPr>
              <w:spacing w:line="280" w:lineRule="exact"/>
              <w:rPr>
                <w:color w:val="auto"/>
                <w:sz w:val="21"/>
                <w:szCs w:val="21"/>
                <w:highlight w:val="none"/>
              </w:rPr>
            </w:pPr>
            <w:r>
              <w:rPr>
                <w:color w:val="auto"/>
                <w:sz w:val="21"/>
                <w:szCs w:val="21"/>
                <w:highlight w:val="none"/>
              </w:rPr>
              <w:t>提供健全财务会计制度、依法缴纳税收和社会保障金以及参加本项目采购活动前三年内无重大违法记录的声明，相关资料可用诚信声明（承诺）代替。采购人或采购代理机构将通过“信用中国”网站(</w:t>
            </w:r>
            <w:r>
              <w:rPr>
                <w:color w:val="auto"/>
                <w:sz w:val="21"/>
                <w:szCs w:val="21"/>
                <w:highlight w:val="none"/>
              </w:rPr>
              <w:drawing>
                <wp:inline distT="0" distB="0" distL="0" distR="0">
                  <wp:extent cx="190500" cy="137160"/>
                  <wp:effectExtent l="19050" t="0" r="0" b="0"/>
                  <wp:docPr id="1" name="图片 1" descr="993754461163366055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937544611633660558289"/>
                          <pic:cNvPicPr>
                            <a:picLocks noChangeAspect="1" noChangeArrowheads="1"/>
                          </pic:cNvPicPr>
                        </pic:nvPicPr>
                        <pic:blipFill>
                          <a:blip r:embed="rId18" cstate="print"/>
                          <a:srcRect/>
                          <a:stretch>
                            <a:fillRect/>
                          </a:stretch>
                        </pic:blipFill>
                        <pic:spPr>
                          <a:xfrm>
                            <a:off x="0" y="0"/>
                            <a:ext cx="190500" cy="137160"/>
                          </a:xfrm>
                          <a:prstGeom prst="rect">
                            <a:avLst/>
                          </a:prstGeom>
                          <a:noFill/>
                          <a:ln w="9525" cmpd="sng">
                            <a:noFill/>
                            <a:miter lim="800000"/>
                            <a:headEnd/>
                            <a:tailEnd/>
                          </a:ln>
                          <a:effectLst/>
                        </pic:spPr>
                      </pic:pic>
                    </a:graphicData>
                  </a:graphic>
                </wp:inline>
              </w:drawing>
            </w:r>
            <w:r>
              <w:rPr>
                <w:color w:val="auto"/>
                <w:sz w:val="21"/>
                <w:szCs w:val="21"/>
                <w:highlight w:val="none"/>
              </w:rPr>
              <w:t>www.creditchina.gov.cn)、"中国</w:t>
            </w:r>
            <w:r>
              <w:rPr>
                <w:rFonts w:hint="eastAsia"/>
                <w:color w:val="auto"/>
                <w:sz w:val="21"/>
                <w:szCs w:val="21"/>
                <w:highlight w:val="none"/>
              </w:rPr>
              <w:t>政府采购</w:t>
            </w:r>
            <w:r>
              <w:rPr>
                <w:color w:val="auto"/>
                <w:sz w:val="21"/>
                <w:szCs w:val="21"/>
                <w:highlight w:val="none"/>
              </w:rPr>
              <w:t>网"(</w:t>
            </w:r>
            <w:r>
              <w:rPr>
                <w:color w:val="auto"/>
                <w:sz w:val="21"/>
                <w:szCs w:val="21"/>
                <w:highlight w:val="none"/>
              </w:rPr>
              <w:drawing>
                <wp:inline distT="0" distB="0" distL="0" distR="0">
                  <wp:extent cx="190500" cy="137160"/>
                  <wp:effectExtent l="19050" t="0" r="0" b="0"/>
                  <wp:docPr id="2" name="图片 2" descr="64976826163366055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9768261633660558321"/>
                          <pic:cNvPicPr>
                            <a:picLocks noChangeAspect="1" noChangeArrowheads="1"/>
                          </pic:cNvPicPr>
                        </pic:nvPicPr>
                        <pic:blipFill>
                          <a:blip r:embed="rId18" cstate="print"/>
                          <a:srcRect/>
                          <a:stretch>
                            <a:fillRect/>
                          </a:stretch>
                        </pic:blipFill>
                        <pic:spPr>
                          <a:xfrm>
                            <a:off x="0" y="0"/>
                            <a:ext cx="190500" cy="137160"/>
                          </a:xfrm>
                          <a:prstGeom prst="rect">
                            <a:avLst/>
                          </a:prstGeom>
                          <a:noFill/>
                          <a:ln w="9525" cmpd="sng">
                            <a:noFill/>
                            <a:miter lim="800000"/>
                            <a:headEnd/>
                            <a:tailEnd/>
                          </a:ln>
                          <a:effectLst/>
                        </pic:spPr>
                      </pic:pic>
                    </a:graphicData>
                  </a:graphic>
                </wp:inline>
              </w:drawing>
            </w:r>
            <w:r>
              <w:rPr>
                <w:color w:val="auto"/>
                <w:sz w:val="21"/>
                <w:szCs w:val="21"/>
                <w:highlight w:val="none"/>
              </w:rPr>
              <w:t>www.ccgp.gov.cn)等渠道查询</w:t>
            </w:r>
            <w:r>
              <w:rPr>
                <w:rFonts w:hint="eastAsia"/>
                <w:color w:val="auto"/>
                <w:sz w:val="21"/>
                <w:szCs w:val="21"/>
                <w:highlight w:val="none"/>
              </w:rPr>
              <w:t>供应商</w:t>
            </w:r>
            <w:r>
              <w:rPr>
                <w:color w:val="auto"/>
                <w:sz w:val="21"/>
                <w:szCs w:val="21"/>
                <w:highlight w:val="none"/>
              </w:rPr>
              <w:t>信用记录，对列入失信被执行人、重大税收违法案件当事人名单、</w:t>
            </w:r>
            <w:r>
              <w:rPr>
                <w:rFonts w:hint="eastAsia"/>
                <w:color w:val="auto"/>
                <w:sz w:val="21"/>
                <w:szCs w:val="21"/>
                <w:highlight w:val="none"/>
              </w:rPr>
              <w:t>政府采购</w:t>
            </w:r>
            <w:r>
              <w:rPr>
                <w:color w:val="auto"/>
                <w:sz w:val="21"/>
                <w:szCs w:val="21"/>
                <w:highlight w:val="none"/>
              </w:rPr>
              <w:t>严重违法失信行为记录名单的</w:t>
            </w:r>
            <w:r>
              <w:rPr>
                <w:rFonts w:hint="eastAsia"/>
                <w:color w:val="auto"/>
                <w:sz w:val="21"/>
                <w:szCs w:val="21"/>
                <w:highlight w:val="none"/>
              </w:rPr>
              <w:t>供应商</w:t>
            </w:r>
            <w:r>
              <w:rPr>
                <w:color w:val="auto"/>
                <w:sz w:val="21"/>
                <w:szCs w:val="21"/>
                <w:highlight w:val="none"/>
              </w:rPr>
              <w:t>将拒绝其参与</w:t>
            </w:r>
            <w:r>
              <w:rPr>
                <w:rFonts w:hint="eastAsia"/>
                <w:color w:val="auto"/>
                <w:sz w:val="21"/>
                <w:szCs w:val="21"/>
                <w:highlight w:val="none"/>
              </w:rPr>
              <w:t>本次</w:t>
            </w:r>
            <w:r>
              <w:rPr>
                <w:color w:val="auto"/>
                <w:sz w:val="21"/>
                <w:szCs w:val="21"/>
                <w:highlight w:val="none"/>
              </w:rPr>
              <w:t>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676" w:type="dxa"/>
            <w:vMerge w:val="continue"/>
            <w:vAlign w:val="center"/>
          </w:tcPr>
          <w:p>
            <w:pPr>
              <w:rPr>
                <w:color w:val="auto"/>
                <w:highlight w:val="none"/>
              </w:rPr>
            </w:pPr>
          </w:p>
        </w:tc>
        <w:tc>
          <w:tcPr>
            <w:tcW w:w="709" w:type="dxa"/>
            <w:vMerge w:val="continue"/>
            <w:vAlign w:val="center"/>
          </w:tcPr>
          <w:p>
            <w:pPr>
              <w:rPr>
                <w:color w:val="auto"/>
                <w:highlight w:val="none"/>
              </w:rPr>
            </w:pPr>
          </w:p>
        </w:tc>
        <w:tc>
          <w:tcPr>
            <w:tcW w:w="4679" w:type="dxa"/>
            <w:vAlign w:val="center"/>
          </w:tcPr>
          <w:p>
            <w:pPr>
              <w:spacing w:line="280" w:lineRule="exact"/>
              <w:rPr>
                <w:color w:val="auto"/>
                <w:sz w:val="21"/>
                <w:szCs w:val="21"/>
                <w:highlight w:val="none"/>
              </w:rPr>
            </w:pPr>
            <w:r>
              <w:rPr>
                <w:color w:val="auto"/>
                <w:sz w:val="21"/>
                <w:szCs w:val="21"/>
                <w:highlight w:val="none"/>
              </w:rPr>
              <w:t>（3）有依法缴纳税收和社会保障金的良好记录</w:t>
            </w:r>
          </w:p>
        </w:tc>
        <w:tc>
          <w:tcPr>
            <w:tcW w:w="3564" w:type="dxa"/>
            <w:vMerge w:val="continue"/>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76" w:type="dxa"/>
            <w:vMerge w:val="continue"/>
            <w:vAlign w:val="center"/>
          </w:tcPr>
          <w:p>
            <w:pPr>
              <w:rPr>
                <w:color w:val="auto"/>
                <w:highlight w:val="none"/>
              </w:rPr>
            </w:pPr>
          </w:p>
        </w:tc>
        <w:tc>
          <w:tcPr>
            <w:tcW w:w="709" w:type="dxa"/>
            <w:vMerge w:val="continue"/>
            <w:vAlign w:val="center"/>
          </w:tcPr>
          <w:p>
            <w:pPr>
              <w:rPr>
                <w:color w:val="auto"/>
                <w:highlight w:val="none"/>
              </w:rPr>
            </w:pPr>
          </w:p>
        </w:tc>
        <w:tc>
          <w:tcPr>
            <w:tcW w:w="4679" w:type="dxa"/>
            <w:vAlign w:val="center"/>
          </w:tcPr>
          <w:p>
            <w:pPr>
              <w:spacing w:line="280" w:lineRule="exact"/>
              <w:rPr>
                <w:color w:val="auto"/>
                <w:sz w:val="21"/>
                <w:szCs w:val="21"/>
                <w:highlight w:val="none"/>
              </w:rPr>
            </w:pPr>
            <w:r>
              <w:rPr>
                <w:color w:val="auto"/>
                <w:sz w:val="21"/>
                <w:szCs w:val="21"/>
                <w:highlight w:val="none"/>
              </w:rPr>
              <w:t>（4）参加</w:t>
            </w:r>
            <w:r>
              <w:rPr>
                <w:rFonts w:hint="eastAsia"/>
                <w:color w:val="auto"/>
                <w:sz w:val="21"/>
                <w:szCs w:val="21"/>
                <w:highlight w:val="none"/>
              </w:rPr>
              <w:t>本次采购</w:t>
            </w:r>
            <w:r>
              <w:rPr>
                <w:color w:val="auto"/>
                <w:sz w:val="21"/>
                <w:szCs w:val="21"/>
                <w:highlight w:val="none"/>
              </w:rPr>
              <w:t>活动前三年内，在经营活动中没有重大违法记录</w:t>
            </w:r>
          </w:p>
        </w:tc>
        <w:tc>
          <w:tcPr>
            <w:tcW w:w="3564" w:type="dxa"/>
            <w:vMerge w:val="continue"/>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76" w:type="dxa"/>
            <w:vMerge w:val="continue"/>
            <w:vAlign w:val="center"/>
          </w:tcPr>
          <w:p>
            <w:pPr>
              <w:rPr>
                <w:color w:val="auto"/>
                <w:highlight w:val="none"/>
              </w:rPr>
            </w:pPr>
          </w:p>
        </w:tc>
        <w:tc>
          <w:tcPr>
            <w:tcW w:w="709" w:type="dxa"/>
            <w:vMerge w:val="continue"/>
            <w:vAlign w:val="center"/>
          </w:tcPr>
          <w:p>
            <w:pPr>
              <w:rPr>
                <w:color w:val="auto"/>
                <w:highlight w:val="none"/>
              </w:rPr>
            </w:pPr>
          </w:p>
        </w:tc>
        <w:tc>
          <w:tcPr>
            <w:tcW w:w="4679" w:type="dxa"/>
            <w:vAlign w:val="center"/>
          </w:tcPr>
          <w:p>
            <w:pPr>
              <w:spacing w:line="280" w:lineRule="exact"/>
              <w:rPr>
                <w:color w:val="auto"/>
                <w:sz w:val="21"/>
                <w:szCs w:val="21"/>
                <w:highlight w:val="none"/>
              </w:rPr>
            </w:pPr>
            <w:r>
              <w:rPr>
                <w:color w:val="auto"/>
                <w:sz w:val="21"/>
                <w:szCs w:val="21"/>
                <w:highlight w:val="none"/>
              </w:rPr>
              <w:t>（5）具有履行合同所必须的设备和工具</w:t>
            </w:r>
          </w:p>
        </w:tc>
        <w:tc>
          <w:tcPr>
            <w:tcW w:w="3564" w:type="dxa"/>
            <w:vMerge w:val="continue"/>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vAlign w:val="center"/>
          </w:tcPr>
          <w:p>
            <w:pPr>
              <w:spacing w:line="280" w:lineRule="exact"/>
              <w:rPr>
                <w:color w:val="auto"/>
                <w:sz w:val="21"/>
                <w:szCs w:val="21"/>
                <w:highlight w:val="none"/>
              </w:rPr>
            </w:pPr>
            <w:r>
              <w:rPr>
                <w:color w:val="auto"/>
                <w:sz w:val="21"/>
                <w:szCs w:val="21"/>
                <w:highlight w:val="none"/>
              </w:rPr>
              <w:t>2</w:t>
            </w:r>
          </w:p>
        </w:tc>
        <w:tc>
          <w:tcPr>
            <w:tcW w:w="5388" w:type="dxa"/>
            <w:gridSpan w:val="2"/>
            <w:vAlign w:val="center"/>
          </w:tcPr>
          <w:p>
            <w:pPr>
              <w:spacing w:line="280" w:lineRule="exact"/>
              <w:rPr>
                <w:color w:val="auto"/>
                <w:sz w:val="21"/>
                <w:szCs w:val="21"/>
                <w:highlight w:val="none"/>
              </w:rPr>
            </w:pPr>
            <w:r>
              <w:rPr>
                <w:color w:val="auto"/>
                <w:sz w:val="21"/>
                <w:szCs w:val="21"/>
                <w:highlight w:val="none"/>
              </w:rPr>
              <w:t>特定资格条件</w:t>
            </w:r>
          </w:p>
        </w:tc>
        <w:tc>
          <w:tcPr>
            <w:tcW w:w="3564" w:type="dxa"/>
            <w:vAlign w:val="center"/>
          </w:tcPr>
          <w:p>
            <w:pPr>
              <w:spacing w:line="280" w:lineRule="exact"/>
              <w:rPr>
                <w:color w:val="auto"/>
                <w:sz w:val="21"/>
                <w:szCs w:val="21"/>
                <w:highlight w:val="none"/>
              </w:rPr>
            </w:pPr>
            <w:r>
              <w:rPr>
                <w:color w:val="auto"/>
                <w:sz w:val="21"/>
                <w:szCs w:val="21"/>
                <w:highlight w:val="none"/>
              </w:rPr>
              <w:t>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vAlign w:val="center"/>
          </w:tcPr>
          <w:p>
            <w:pPr>
              <w:spacing w:line="280" w:lineRule="exact"/>
              <w:rPr>
                <w:color w:val="auto"/>
                <w:sz w:val="21"/>
                <w:szCs w:val="21"/>
                <w:highlight w:val="none"/>
              </w:rPr>
            </w:pPr>
            <w:r>
              <w:rPr>
                <w:color w:val="auto"/>
                <w:sz w:val="21"/>
                <w:szCs w:val="21"/>
                <w:highlight w:val="none"/>
              </w:rPr>
              <w:t>3</w:t>
            </w:r>
          </w:p>
        </w:tc>
        <w:tc>
          <w:tcPr>
            <w:tcW w:w="5388" w:type="dxa"/>
            <w:gridSpan w:val="2"/>
            <w:vAlign w:val="center"/>
          </w:tcPr>
          <w:p>
            <w:pPr>
              <w:spacing w:line="280" w:lineRule="exact"/>
              <w:rPr>
                <w:rFonts w:hint="eastAsia" w:eastAsia="方正仿宋_GBK"/>
                <w:color w:val="auto"/>
                <w:sz w:val="21"/>
                <w:szCs w:val="21"/>
                <w:highlight w:val="none"/>
                <w:lang w:eastAsia="zh-CN"/>
              </w:rPr>
            </w:pPr>
            <w:r>
              <w:rPr>
                <w:rFonts w:hint="eastAsia"/>
                <w:color w:val="auto"/>
                <w:sz w:val="21"/>
                <w:szCs w:val="21"/>
                <w:highlight w:val="none"/>
                <w:lang w:eastAsia="zh-CN"/>
              </w:rPr>
              <w:t>投标保证金</w:t>
            </w:r>
          </w:p>
        </w:tc>
        <w:tc>
          <w:tcPr>
            <w:tcW w:w="3564" w:type="dxa"/>
            <w:vAlign w:val="center"/>
          </w:tcPr>
          <w:p>
            <w:pPr>
              <w:spacing w:line="280" w:lineRule="exact"/>
              <w:rPr>
                <w:color w:val="auto"/>
                <w:sz w:val="21"/>
                <w:szCs w:val="21"/>
                <w:highlight w:val="none"/>
              </w:rPr>
            </w:pPr>
            <w:r>
              <w:rPr>
                <w:color w:val="auto"/>
                <w:sz w:val="21"/>
                <w:szCs w:val="21"/>
                <w:highlight w:val="none"/>
              </w:rPr>
              <w:t>按磋商文件规定的时间、方式从基本账户提交足额</w:t>
            </w:r>
            <w:r>
              <w:rPr>
                <w:rFonts w:hint="eastAsia"/>
                <w:color w:val="auto"/>
                <w:sz w:val="21"/>
                <w:szCs w:val="21"/>
                <w:highlight w:val="none"/>
                <w:lang w:eastAsia="zh-CN"/>
              </w:rPr>
              <w:t>投标保证金</w:t>
            </w:r>
            <w:r>
              <w:rPr>
                <w:color w:val="auto"/>
                <w:sz w:val="21"/>
                <w:szCs w:val="21"/>
                <w:highlight w:val="none"/>
              </w:rPr>
              <w:t>。</w:t>
            </w:r>
          </w:p>
        </w:tc>
      </w:tr>
    </w:tbl>
    <w:p>
      <w:pPr>
        <w:ind w:firstLine="480" w:firstLineChars="200"/>
        <w:rPr>
          <w:color w:val="auto"/>
          <w:highlight w:val="none"/>
        </w:rPr>
      </w:pPr>
      <w:r>
        <w:rPr>
          <w:color w:val="auto"/>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80" w:lineRule="exact"/>
              <w:jc w:val="center"/>
              <w:rPr>
                <w:b/>
                <w:bCs/>
                <w:color w:val="auto"/>
                <w:sz w:val="21"/>
                <w:szCs w:val="21"/>
                <w:highlight w:val="none"/>
              </w:rPr>
            </w:pPr>
            <w:r>
              <w:rPr>
                <w:b/>
                <w:bCs/>
                <w:color w:val="auto"/>
                <w:sz w:val="21"/>
                <w:szCs w:val="21"/>
                <w:highlight w:val="none"/>
              </w:rPr>
              <w:t>序号</w:t>
            </w:r>
          </w:p>
        </w:tc>
        <w:tc>
          <w:tcPr>
            <w:tcW w:w="3544" w:type="dxa"/>
            <w:gridSpan w:val="2"/>
            <w:vAlign w:val="center"/>
          </w:tcPr>
          <w:p>
            <w:pPr>
              <w:spacing w:line="280" w:lineRule="exact"/>
              <w:jc w:val="center"/>
              <w:rPr>
                <w:b/>
                <w:bCs/>
                <w:color w:val="auto"/>
                <w:sz w:val="21"/>
                <w:szCs w:val="21"/>
                <w:highlight w:val="none"/>
              </w:rPr>
            </w:pPr>
            <w:r>
              <w:rPr>
                <w:b/>
                <w:bCs/>
                <w:color w:val="auto"/>
                <w:sz w:val="21"/>
                <w:szCs w:val="21"/>
                <w:highlight w:val="none"/>
              </w:rPr>
              <w:t>评审因素</w:t>
            </w:r>
          </w:p>
        </w:tc>
        <w:tc>
          <w:tcPr>
            <w:tcW w:w="5409" w:type="dxa"/>
            <w:vAlign w:val="center"/>
          </w:tcPr>
          <w:p>
            <w:pPr>
              <w:spacing w:line="280" w:lineRule="exact"/>
              <w:jc w:val="center"/>
              <w:rPr>
                <w:b/>
                <w:bCs/>
                <w:color w:val="auto"/>
                <w:sz w:val="21"/>
                <w:szCs w:val="21"/>
                <w:highlight w:val="none"/>
              </w:rPr>
            </w:pPr>
            <w:r>
              <w:rPr>
                <w:b/>
                <w:bCs/>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675" w:type="dxa"/>
            <w:vMerge w:val="restart"/>
            <w:vAlign w:val="center"/>
          </w:tcPr>
          <w:p>
            <w:pPr>
              <w:spacing w:line="280" w:lineRule="exact"/>
              <w:rPr>
                <w:color w:val="auto"/>
                <w:sz w:val="21"/>
                <w:szCs w:val="21"/>
                <w:highlight w:val="none"/>
              </w:rPr>
            </w:pPr>
            <w:r>
              <w:rPr>
                <w:color w:val="auto"/>
                <w:sz w:val="21"/>
                <w:szCs w:val="21"/>
                <w:highlight w:val="none"/>
              </w:rPr>
              <w:t>1</w:t>
            </w:r>
          </w:p>
        </w:tc>
        <w:tc>
          <w:tcPr>
            <w:tcW w:w="1560" w:type="dxa"/>
            <w:vMerge w:val="restart"/>
            <w:vAlign w:val="center"/>
          </w:tcPr>
          <w:p>
            <w:pPr>
              <w:spacing w:line="280" w:lineRule="exact"/>
              <w:rPr>
                <w:color w:val="auto"/>
                <w:sz w:val="21"/>
                <w:szCs w:val="21"/>
                <w:highlight w:val="none"/>
              </w:rPr>
            </w:pPr>
            <w:r>
              <w:rPr>
                <w:color w:val="auto"/>
                <w:sz w:val="21"/>
                <w:szCs w:val="21"/>
                <w:highlight w:val="none"/>
              </w:rPr>
              <w:t>有效性审查</w:t>
            </w:r>
          </w:p>
        </w:tc>
        <w:tc>
          <w:tcPr>
            <w:tcW w:w="1984" w:type="dxa"/>
            <w:vAlign w:val="center"/>
          </w:tcPr>
          <w:p>
            <w:pPr>
              <w:spacing w:line="280" w:lineRule="exact"/>
              <w:rPr>
                <w:color w:val="auto"/>
                <w:sz w:val="21"/>
                <w:szCs w:val="21"/>
                <w:highlight w:val="none"/>
              </w:rPr>
            </w:pPr>
            <w:r>
              <w:rPr>
                <w:color w:val="auto"/>
                <w:sz w:val="21"/>
                <w:szCs w:val="21"/>
                <w:highlight w:val="none"/>
              </w:rPr>
              <w:t>响应文件签署</w:t>
            </w:r>
          </w:p>
        </w:tc>
        <w:tc>
          <w:tcPr>
            <w:tcW w:w="5409" w:type="dxa"/>
            <w:vAlign w:val="center"/>
          </w:tcPr>
          <w:p>
            <w:pPr>
              <w:spacing w:line="280" w:lineRule="exact"/>
              <w:rPr>
                <w:color w:val="auto"/>
                <w:sz w:val="21"/>
                <w:szCs w:val="21"/>
                <w:highlight w:val="none"/>
              </w:rPr>
            </w:pPr>
            <w:r>
              <w:rPr>
                <w:color w:val="auto"/>
                <w:sz w:val="21"/>
                <w:szCs w:val="21"/>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75"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984" w:type="dxa"/>
            <w:vAlign w:val="center"/>
          </w:tcPr>
          <w:p>
            <w:pPr>
              <w:spacing w:line="280" w:lineRule="exact"/>
              <w:rPr>
                <w:color w:val="auto"/>
                <w:sz w:val="21"/>
                <w:szCs w:val="21"/>
                <w:highlight w:val="none"/>
              </w:rPr>
            </w:pPr>
            <w:r>
              <w:rPr>
                <w:color w:val="auto"/>
                <w:sz w:val="21"/>
                <w:szCs w:val="21"/>
                <w:highlight w:val="none"/>
              </w:rPr>
              <w:t>法定代表人身份证明及授权委托书</w:t>
            </w:r>
          </w:p>
        </w:tc>
        <w:tc>
          <w:tcPr>
            <w:tcW w:w="5409" w:type="dxa"/>
            <w:vAlign w:val="center"/>
          </w:tcPr>
          <w:p>
            <w:pPr>
              <w:spacing w:line="280" w:lineRule="exact"/>
              <w:rPr>
                <w:color w:val="auto"/>
                <w:sz w:val="21"/>
                <w:szCs w:val="21"/>
                <w:highlight w:val="none"/>
              </w:rPr>
            </w:pPr>
            <w:r>
              <w:rPr>
                <w:color w:val="auto"/>
                <w:sz w:val="21"/>
                <w:szCs w:val="21"/>
                <w:highlight w:val="none"/>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75"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984" w:type="dxa"/>
            <w:vAlign w:val="center"/>
          </w:tcPr>
          <w:p>
            <w:pPr>
              <w:spacing w:line="280" w:lineRule="exact"/>
              <w:rPr>
                <w:color w:val="auto"/>
                <w:sz w:val="21"/>
                <w:szCs w:val="21"/>
                <w:highlight w:val="none"/>
              </w:rPr>
            </w:pPr>
            <w:r>
              <w:rPr>
                <w:color w:val="auto"/>
                <w:sz w:val="21"/>
                <w:szCs w:val="21"/>
                <w:highlight w:val="none"/>
              </w:rPr>
              <w:t>响应方案</w:t>
            </w:r>
          </w:p>
        </w:tc>
        <w:tc>
          <w:tcPr>
            <w:tcW w:w="5409" w:type="dxa"/>
            <w:vAlign w:val="center"/>
          </w:tcPr>
          <w:p>
            <w:pPr>
              <w:spacing w:line="280" w:lineRule="exact"/>
              <w:rPr>
                <w:color w:val="auto"/>
                <w:sz w:val="21"/>
                <w:szCs w:val="21"/>
                <w:highlight w:val="none"/>
              </w:rPr>
            </w:pPr>
            <w:r>
              <w:rPr>
                <w:color w:val="auto"/>
                <w:sz w:val="21"/>
                <w:szCs w:val="21"/>
                <w:highlight w:val="none"/>
              </w:rPr>
              <w:t>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75" w:type="dxa"/>
            <w:vMerge w:val="restart"/>
            <w:vAlign w:val="center"/>
          </w:tcPr>
          <w:p>
            <w:pPr>
              <w:spacing w:line="280" w:lineRule="exact"/>
              <w:rPr>
                <w:color w:val="auto"/>
                <w:sz w:val="21"/>
                <w:szCs w:val="21"/>
                <w:highlight w:val="none"/>
              </w:rPr>
            </w:pPr>
            <w:r>
              <w:rPr>
                <w:color w:val="auto"/>
                <w:sz w:val="21"/>
                <w:szCs w:val="21"/>
                <w:highlight w:val="none"/>
              </w:rPr>
              <w:t>2</w:t>
            </w:r>
          </w:p>
        </w:tc>
        <w:tc>
          <w:tcPr>
            <w:tcW w:w="1560" w:type="dxa"/>
            <w:vMerge w:val="restart"/>
            <w:vAlign w:val="center"/>
          </w:tcPr>
          <w:p>
            <w:pPr>
              <w:spacing w:line="280" w:lineRule="exact"/>
              <w:rPr>
                <w:color w:val="auto"/>
                <w:sz w:val="21"/>
                <w:szCs w:val="21"/>
                <w:highlight w:val="none"/>
              </w:rPr>
            </w:pPr>
            <w:r>
              <w:rPr>
                <w:color w:val="auto"/>
                <w:sz w:val="21"/>
                <w:szCs w:val="21"/>
                <w:highlight w:val="none"/>
              </w:rPr>
              <w:t>完整性审查</w:t>
            </w:r>
          </w:p>
        </w:tc>
        <w:tc>
          <w:tcPr>
            <w:tcW w:w="1984" w:type="dxa"/>
            <w:vAlign w:val="center"/>
          </w:tcPr>
          <w:p>
            <w:pPr>
              <w:spacing w:line="280" w:lineRule="exact"/>
              <w:rPr>
                <w:color w:val="auto"/>
                <w:sz w:val="21"/>
                <w:szCs w:val="21"/>
                <w:highlight w:val="none"/>
              </w:rPr>
            </w:pPr>
            <w:r>
              <w:rPr>
                <w:color w:val="auto"/>
                <w:sz w:val="21"/>
                <w:szCs w:val="21"/>
                <w:highlight w:val="none"/>
              </w:rPr>
              <w:t>响应文件份数</w:t>
            </w:r>
          </w:p>
        </w:tc>
        <w:tc>
          <w:tcPr>
            <w:tcW w:w="5409" w:type="dxa"/>
            <w:vAlign w:val="center"/>
          </w:tcPr>
          <w:p>
            <w:pPr>
              <w:spacing w:line="280" w:lineRule="exact"/>
              <w:rPr>
                <w:color w:val="auto"/>
                <w:sz w:val="21"/>
                <w:szCs w:val="21"/>
                <w:highlight w:val="none"/>
              </w:rPr>
            </w:pPr>
            <w:r>
              <w:rPr>
                <w:color w:val="auto"/>
                <w:sz w:val="21"/>
                <w:szCs w:val="21"/>
                <w:highlight w:val="none"/>
              </w:rPr>
              <w:t>响应文件正、副本数量（含电子文档）符合竞争性磋商文件要求。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675"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984" w:type="dxa"/>
            <w:vAlign w:val="center"/>
          </w:tcPr>
          <w:p>
            <w:pPr>
              <w:spacing w:line="280" w:lineRule="exact"/>
              <w:rPr>
                <w:color w:val="auto"/>
                <w:sz w:val="21"/>
                <w:szCs w:val="21"/>
                <w:highlight w:val="none"/>
              </w:rPr>
            </w:pPr>
            <w:r>
              <w:rPr>
                <w:color w:val="auto"/>
                <w:sz w:val="21"/>
                <w:szCs w:val="21"/>
                <w:highlight w:val="none"/>
              </w:rPr>
              <w:t>响应文件内容</w:t>
            </w:r>
          </w:p>
        </w:tc>
        <w:tc>
          <w:tcPr>
            <w:tcW w:w="5409" w:type="dxa"/>
            <w:vAlign w:val="center"/>
          </w:tcPr>
          <w:p>
            <w:pPr>
              <w:spacing w:line="280" w:lineRule="exact"/>
              <w:rPr>
                <w:color w:val="auto"/>
                <w:sz w:val="21"/>
                <w:szCs w:val="21"/>
                <w:highlight w:val="none"/>
              </w:rPr>
            </w:pPr>
            <w:r>
              <w:rPr>
                <w:color w:val="auto"/>
                <w:sz w:val="21"/>
                <w:szCs w:val="21"/>
                <w:highlight w:val="none"/>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75" w:type="dxa"/>
            <w:vMerge w:val="restart"/>
            <w:vAlign w:val="center"/>
          </w:tcPr>
          <w:p>
            <w:pPr>
              <w:spacing w:line="280" w:lineRule="exact"/>
              <w:rPr>
                <w:color w:val="auto"/>
                <w:sz w:val="21"/>
                <w:szCs w:val="21"/>
                <w:highlight w:val="none"/>
              </w:rPr>
            </w:pPr>
            <w:r>
              <w:rPr>
                <w:color w:val="auto"/>
                <w:sz w:val="21"/>
                <w:szCs w:val="21"/>
                <w:highlight w:val="none"/>
              </w:rPr>
              <w:t>3</w:t>
            </w:r>
          </w:p>
        </w:tc>
        <w:tc>
          <w:tcPr>
            <w:tcW w:w="1560" w:type="dxa"/>
            <w:vMerge w:val="restart"/>
            <w:vAlign w:val="center"/>
          </w:tcPr>
          <w:p>
            <w:pPr>
              <w:spacing w:line="280" w:lineRule="exact"/>
              <w:rPr>
                <w:color w:val="auto"/>
                <w:sz w:val="21"/>
                <w:szCs w:val="21"/>
                <w:highlight w:val="none"/>
              </w:rPr>
            </w:pPr>
            <w:r>
              <w:rPr>
                <w:color w:val="auto"/>
                <w:sz w:val="21"/>
                <w:szCs w:val="21"/>
                <w:highlight w:val="none"/>
              </w:rPr>
              <w:t>竞争性磋商文件的响应程度审查</w:t>
            </w:r>
          </w:p>
        </w:tc>
        <w:tc>
          <w:tcPr>
            <w:tcW w:w="1984" w:type="dxa"/>
            <w:vAlign w:val="center"/>
          </w:tcPr>
          <w:p>
            <w:pPr>
              <w:spacing w:line="280" w:lineRule="exact"/>
              <w:rPr>
                <w:color w:val="auto"/>
                <w:sz w:val="21"/>
                <w:szCs w:val="21"/>
                <w:highlight w:val="none"/>
              </w:rPr>
            </w:pPr>
            <w:r>
              <w:rPr>
                <w:color w:val="auto"/>
                <w:sz w:val="21"/>
                <w:szCs w:val="21"/>
                <w:highlight w:val="none"/>
              </w:rPr>
              <w:t>响应文件内容</w:t>
            </w:r>
          </w:p>
        </w:tc>
        <w:tc>
          <w:tcPr>
            <w:tcW w:w="5409" w:type="dxa"/>
            <w:vAlign w:val="center"/>
          </w:tcPr>
          <w:p>
            <w:pPr>
              <w:spacing w:line="280" w:lineRule="exact"/>
              <w:rPr>
                <w:color w:val="auto"/>
                <w:sz w:val="21"/>
                <w:szCs w:val="21"/>
                <w:highlight w:val="none"/>
              </w:rPr>
            </w:pPr>
            <w:r>
              <w:rPr>
                <w:color w:val="auto"/>
                <w:sz w:val="21"/>
                <w:szCs w:val="21"/>
                <w:highlight w:val="none"/>
              </w:rPr>
              <w:t>对竞争性磋商文件第二、三篇规定的磋商内容作出响应。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75"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984" w:type="dxa"/>
            <w:vAlign w:val="center"/>
          </w:tcPr>
          <w:p>
            <w:pPr>
              <w:spacing w:line="280" w:lineRule="exact"/>
              <w:rPr>
                <w:color w:val="auto"/>
                <w:sz w:val="21"/>
                <w:szCs w:val="21"/>
                <w:highlight w:val="none"/>
              </w:rPr>
            </w:pPr>
            <w:r>
              <w:rPr>
                <w:color w:val="auto"/>
                <w:sz w:val="21"/>
                <w:szCs w:val="21"/>
                <w:highlight w:val="none"/>
              </w:rPr>
              <w:t>磋商有效期</w:t>
            </w:r>
          </w:p>
        </w:tc>
        <w:tc>
          <w:tcPr>
            <w:tcW w:w="5409" w:type="dxa"/>
            <w:vAlign w:val="center"/>
          </w:tcPr>
          <w:p>
            <w:pPr>
              <w:spacing w:line="280" w:lineRule="exact"/>
              <w:rPr>
                <w:color w:val="auto"/>
                <w:sz w:val="21"/>
                <w:szCs w:val="21"/>
                <w:highlight w:val="none"/>
              </w:rPr>
            </w:pPr>
            <w:r>
              <w:rPr>
                <w:color w:val="auto"/>
                <w:sz w:val="21"/>
                <w:szCs w:val="21"/>
                <w:highlight w:val="none"/>
              </w:rPr>
              <w:t>满足磋商文件规定。</w:t>
            </w:r>
          </w:p>
        </w:tc>
      </w:tr>
    </w:tbl>
    <w:p>
      <w:pPr>
        <w:ind w:firstLine="480" w:firstLineChars="200"/>
        <w:rPr>
          <w:color w:val="auto"/>
          <w:highlight w:val="none"/>
        </w:rPr>
      </w:pPr>
      <w:r>
        <w:rPr>
          <w:color w:val="auto"/>
          <w:highlight w:val="none"/>
        </w:rPr>
        <w:t>（三）澄清有关问题。</w:t>
      </w:r>
      <w:r>
        <w:rPr>
          <w:rFonts w:hint="eastAsia"/>
          <w:color w:val="auto"/>
          <w:highlight w:val="none"/>
        </w:rPr>
        <w:t>磋商评审小组</w:t>
      </w:r>
      <w:r>
        <w:rPr>
          <w:color w:val="auto"/>
          <w:highlight w:val="none"/>
        </w:rPr>
        <w:t>在对响应文件的有效性、完整性和响应程度进行审查时，可以要求</w:t>
      </w:r>
      <w:r>
        <w:rPr>
          <w:rFonts w:hint="eastAsia"/>
          <w:color w:val="auto"/>
          <w:highlight w:val="none"/>
        </w:rPr>
        <w:t>供应商</w:t>
      </w:r>
      <w:r>
        <w:rPr>
          <w:color w:val="auto"/>
          <w:highlight w:val="none"/>
        </w:rPr>
        <w:t>对响应文件中含义不明确、同类问题表述不一致或者有明显文字和计算错误的内容等作出必要的澄清、说明或者更正。</w:t>
      </w:r>
      <w:r>
        <w:rPr>
          <w:rFonts w:hint="eastAsia"/>
          <w:color w:val="auto"/>
          <w:highlight w:val="none"/>
        </w:rPr>
        <w:t>供应商</w:t>
      </w:r>
      <w:r>
        <w:rPr>
          <w:color w:val="auto"/>
          <w:highlight w:val="none"/>
        </w:rPr>
        <w:t>的澄清、说明或者更正不得超出响应文件的范围或者改变响应文件的实质性内容。</w:t>
      </w:r>
    </w:p>
    <w:p>
      <w:pPr>
        <w:ind w:firstLine="480" w:firstLineChars="200"/>
        <w:rPr>
          <w:color w:val="auto"/>
          <w:highlight w:val="none"/>
        </w:rPr>
      </w:pPr>
      <w:r>
        <w:rPr>
          <w:color w:val="auto"/>
          <w:highlight w:val="none"/>
        </w:rPr>
        <w:t>（四）</w:t>
      </w:r>
      <w:r>
        <w:rPr>
          <w:rFonts w:hint="eastAsia"/>
          <w:color w:val="auto"/>
          <w:highlight w:val="none"/>
        </w:rPr>
        <w:t>磋商评审小组</w:t>
      </w:r>
      <w:r>
        <w:rPr>
          <w:color w:val="auto"/>
          <w:highlight w:val="none"/>
        </w:rPr>
        <w:t>要求</w:t>
      </w:r>
      <w:r>
        <w:rPr>
          <w:rFonts w:hint="eastAsia"/>
          <w:color w:val="auto"/>
          <w:highlight w:val="none"/>
        </w:rPr>
        <w:t>供应商</w:t>
      </w:r>
      <w:r>
        <w:rPr>
          <w:color w:val="auto"/>
          <w:highlight w:val="none"/>
        </w:rPr>
        <w:t>澄清、说明或者更正响应文件应当以书面形式作出。</w:t>
      </w:r>
      <w:r>
        <w:rPr>
          <w:rFonts w:hint="eastAsia"/>
          <w:color w:val="auto"/>
          <w:highlight w:val="none"/>
        </w:rPr>
        <w:t>供应商</w:t>
      </w:r>
      <w:r>
        <w:rPr>
          <w:color w:val="auto"/>
          <w:highlight w:val="none"/>
        </w:rPr>
        <w:t>的澄清、说明或者更正应当由法定代表人或其授权代表签字或者加盖公章。由授权代表签字的，应当附法定代表人授权书。</w:t>
      </w:r>
    </w:p>
    <w:p>
      <w:pPr>
        <w:ind w:firstLine="480" w:firstLineChars="200"/>
        <w:rPr>
          <w:color w:val="auto"/>
          <w:highlight w:val="none"/>
        </w:rPr>
      </w:pPr>
      <w:r>
        <w:rPr>
          <w:color w:val="auto"/>
          <w:highlight w:val="none"/>
        </w:rPr>
        <w:t>（五）在磋商过程中磋商的任何一方不得向他人透露与磋商有关的技术资料、价格或其他信息。</w:t>
      </w:r>
    </w:p>
    <w:p>
      <w:pPr>
        <w:ind w:firstLine="480" w:firstLineChars="200"/>
        <w:rPr>
          <w:color w:val="auto"/>
          <w:highlight w:val="none"/>
        </w:rPr>
      </w:pPr>
      <w:r>
        <w:rPr>
          <w:color w:val="auto"/>
          <w:highlight w:val="none"/>
        </w:rPr>
        <w:t>（六）</w:t>
      </w:r>
      <w:r>
        <w:rPr>
          <w:rFonts w:hint="eastAsia"/>
          <w:color w:val="auto"/>
          <w:highlight w:val="none"/>
        </w:rPr>
        <w:t>供应商</w:t>
      </w:r>
      <w:r>
        <w:rPr>
          <w:color w:val="auto"/>
          <w:highlight w:val="none"/>
        </w:rPr>
        <w:t>在磋商时作出的所有书面承诺须由法定代表人或其授权代表签字。</w:t>
      </w:r>
    </w:p>
    <w:p>
      <w:pPr>
        <w:ind w:firstLine="480" w:firstLineChars="200"/>
        <w:rPr>
          <w:color w:val="auto"/>
          <w:highlight w:val="none"/>
        </w:rPr>
      </w:pPr>
      <w:r>
        <w:rPr>
          <w:rFonts w:hint="eastAsia"/>
          <w:color w:val="auto"/>
          <w:highlight w:val="none"/>
        </w:rPr>
        <w:t>（七）磋商评审小组对</w:t>
      </w:r>
      <w:r>
        <w:rPr>
          <w:color w:val="auto"/>
          <w:highlight w:val="none"/>
        </w:rPr>
        <w:t>资格性检查</w:t>
      </w:r>
      <w:r>
        <w:rPr>
          <w:rFonts w:hint="eastAsia"/>
          <w:color w:val="auto"/>
          <w:highlight w:val="none"/>
        </w:rPr>
        <w:t>、</w:t>
      </w:r>
      <w:r>
        <w:rPr>
          <w:color w:val="auto"/>
          <w:highlight w:val="none"/>
        </w:rPr>
        <w:t>符合性检查</w:t>
      </w:r>
      <w:r>
        <w:rPr>
          <w:rFonts w:hint="eastAsia"/>
          <w:color w:val="auto"/>
          <w:highlight w:val="none"/>
        </w:rPr>
        <w:t>均合格的供应商采用</w:t>
      </w:r>
      <w:r>
        <w:rPr>
          <w:color w:val="auto"/>
          <w:highlight w:val="none"/>
        </w:rPr>
        <w:t>综合评分法</w:t>
      </w:r>
      <w:r>
        <w:rPr>
          <w:rFonts w:hint="eastAsia"/>
          <w:color w:val="auto"/>
          <w:highlight w:val="none"/>
        </w:rPr>
        <w:t>进行评分：</w:t>
      </w:r>
    </w:p>
    <w:p>
      <w:pPr>
        <w:ind w:firstLine="480" w:firstLineChars="200"/>
        <w:rPr>
          <w:color w:val="auto"/>
          <w:highlight w:val="none"/>
        </w:rPr>
      </w:pPr>
      <w:r>
        <w:rPr>
          <w:rFonts w:hint="eastAsia"/>
          <w:color w:val="auto"/>
          <w:highlight w:val="none"/>
        </w:rPr>
        <w:t>1.磋商评审小组</w:t>
      </w:r>
      <w:r>
        <w:rPr>
          <w:color w:val="auto"/>
          <w:highlight w:val="none"/>
        </w:rPr>
        <w:t>各成员独立对每个实质性响应文件</w:t>
      </w:r>
      <w:r>
        <w:rPr>
          <w:rFonts w:hint="eastAsia"/>
          <w:color w:val="auto"/>
          <w:highlight w:val="none"/>
        </w:rPr>
        <w:t>的技术部分</w:t>
      </w:r>
      <w:r>
        <w:rPr>
          <w:color w:val="auto"/>
          <w:highlight w:val="none"/>
        </w:rPr>
        <w:t>进行评价、打分</w:t>
      </w:r>
      <w:r>
        <w:rPr>
          <w:rFonts w:hint="eastAsia"/>
          <w:color w:val="auto"/>
          <w:highlight w:val="none"/>
        </w:rPr>
        <w:t>，各投标人技术部分最终得分为所有磋商评审小组成员打分的平均值，投标人</w:t>
      </w:r>
      <w:r>
        <w:rPr>
          <w:color w:val="auto"/>
          <w:highlight w:val="none"/>
        </w:rPr>
        <w:t>总得分满分为</w:t>
      </w:r>
      <w:r>
        <w:rPr>
          <w:rFonts w:hint="eastAsia"/>
          <w:color w:val="auto"/>
          <w:highlight w:val="none"/>
        </w:rPr>
        <w:t>4</w:t>
      </w:r>
      <w:r>
        <w:rPr>
          <w:color w:val="auto"/>
          <w:highlight w:val="none"/>
        </w:rPr>
        <w:t>0分</w:t>
      </w:r>
      <w:r>
        <w:rPr>
          <w:rFonts w:hint="eastAsia"/>
          <w:color w:val="auto"/>
          <w:highlight w:val="none"/>
        </w:rPr>
        <w:t>，</w:t>
      </w:r>
      <w:r>
        <w:rPr>
          <w:color w:val="auto"/>
          <w:highlight w:val="none"/>
        </w:rPr>
        <w:t>然后汇总每个</w:t>
      </w:r>
      <w:r>
        <w:rPr>
          <w:rFonts w:hint="eastAsia"/>
          <w:color w:val="auto"/>
          <w:highlight w:val="none"/>
        </w:rPr>
        <w:t>投标人</w:t>
      </w:r>
      <w:r>
        <w:rPr>
          <w:color w:val="auto"/>
          <w:highlight w:val="none"/>
        </w:rPr>
        <w:t>每项评分因素的得分</w:t>
      </w:r>
      <w:r>
        <w:rPr>
          <w:rFonts w:hint="eastAsia"/>
          <w:color w:val="auto"/>
          <w:highlight w:val="none"/>
        </w:rPr>
        <w:t>，</w:t>
      </w:r>
      <w:r>
        <w:rPr>
          <w:color w:val="auto"/>
          <w:highlight w:val="none"/>
        </w:rPr>
        <w:t>并根据综合评分情况按照评审得分由高到低顺序推荐本阶段</w:t>
      </w:r>
      <w:r>
        <w:rPr>
          <w:rFonts w:hint="eastAsia"/>
          <w:color w:val="auto"/>
          <w:highlight w:val="none"/>
        </w:rPr>
        <w:t>评审得分最高的前5</w:t>
      </w:r>
      <w:r>
        <w:rPr>
          <w:color w:val="auto"/>
          <w:highlight w:val="none"/>
        </w:rPr>
        <w:t>名</w:t>
      </w:r>
      <w:r>
        <w:rPr>
          <w:rFonts w:hint="eastAsia"/>
          <w:color w:val="auto"/>
          <w:highlight w:val="none"/>
        </w:rPr>
        <w:t>投标人成为候选投标人（若</w:t>
      </w:r>
      <w:r>
        <w:rPr>
          <w:color w:val="auto"/>
          <w:highlight w:val="none"/>
        </w:rPr>
        <w:t>符合要求的投标人或者报价未超过采购预算的投标人不足</w:t>
      </w:r>
      <w:r>
        <w:rPr>
          <w:rFonts w:hint="eastAsia"/>
          <w:color w:val="auto"/>
          <w:highlight w:val="none"/>
        </w:rPr>
        <w:t>5</w:t>
      </w:r>
      <w:r>
        <w:rPr>
          <w:color w:val="auto"/>
          <w:highlight w:val="none"/>
        </w:rPr>
        <w:t>家的</w:t>
      </w:r>
      <w:r>
        <w:rPr>
          <w:rFonts w:hint="eastAsia"/>
          <w:color w:val="auto"/>
          <w:highlight w:val="none"/>
        </w:rPr>
        <w:t>，</w:t>
      </w:r>
      <w:r>
        <w:rPr>
          <w:color w:val="auto"/>
          <w:highlight w:val="none"/>
        </w:rPr>
        <w:t>根据综合评分由高到低顺序</w:t>
      </w:r>
      <w:r>
        <w:rPr>
          <w:rFonts w:hint="eastAsia"/>
          <w:color w:val="auto"/>
          <w:highlight w:val="none"/>
        </w:rPr>
        <w:t>成为候选投标人）。</w:t>
      </w:r>
    </w:p>
    <w:p>
      <w:pPr>
        <w:ind w:firstLine="480" w:firstLineChars="200"/>
        <w:rPr>
          <w:rFonts w:hint="eastAsia"/>
          <w:color w:val="auto"/>
          <w:highlight w:val="none"/>
        </w:rPr>
      </w:pPr>
      <w:r>
        <w:rPr>
          <w:rFonts w:hint="eastAsia"/>
          <w:color w:val="auto"/>
          <w:highlight w:val="none"/>
        </w:rPr>
        <w:t>2.磋商评审小组对前5名候选人的报价按照由低到高的顺序依次排序，并依序推荐排序第一的为第一候选供应商，排序第二的为第二候选供应商，排序第三的为第三候选供应商。</w:t>
      </w:r>
    </w:p>
    <w:p>
      <w:pPr>
        <w:pStyle w:val="23"/>
        <w:rPr>
          <w:rFonts w:hint="default" w:eastAsia="仿宋_GB2312"/>
          <w:color w:val="auto"/>
          <w:highlight w:val="none"/>
          <w:lang w:val="en-US" w:eastAsia="zh-CN"/>
        </w:rPr>
      </w:pPr>
      <w:r>
        <w:rPr>
          <w:rFonts w:hint="eastAsia"/>
          <w:color w:val="auto"/>
          <w:highlight w:val="none"/>
          <w:lang w:val="en-US" w:eastAsia="zh-CN"/>
        </w:rPr>
        <w:t xml:space="preserve">   </w:t>
      </w:r>
      <w:r>
        <w:rPr>
          <w:rFonts w:hint="eastAsia" w:ascii="Times New Roman" w:hAnsi="Times New Roman" w:eastAsia="方正仿宋_GBK" w:cs="Times New Roman"/>
          <w:color w:val="auto"/>
          <w:kern w:val="2"/>
          <w:sz w:val="24"/>
          <w:highlight w:val="none"/>
          <w:lang w:val="en-US" w:eastAsia="zh-CN" w:bidi="ar-SA"/>
        </w:rPr>
        <w:t>本项目只接受一次报价</w:t>
      </w:r>
      <w:r>
        <w:rPr>
          <w:rFonts w:hint="eastAsia" w:cs="Times New Roman"/>
          <w:color w:val="auto"/>
          <w:kern w:val="2"/>
          <w:sz w:val="24"/>
          <w:highlight w:val="none"/>
          <w:lang w:val="en-US" w:eastAsia="zh-CN" w:bidi="ar-SA"/>
        </w:rPr>
        <w:t>（</w:t>
      </w:r>
      <w:r>
        <w:rPr>
          <w:rFonts w:hint="eastAsia" w:ascii="Times New Roman" w:hAnsi="Times New Roman" w:eastAsia="方正仿宋_GBK" w:cs="Times New Roman"/>
          <w:color w:val="auto"/>
          <w:kern w:val="2"/>
          <w:sz w:val="24"/>
          <w:highlight w:val="none"/>
          <w:lang w:val="en-US" w:eastAsia="zh-CN" w:bidi="ar-SA"/>
        </w:rPr>
        <w:t>即投标人按照磋商文件第三篇报价要求在投标文件里</w:t>
      </w:r>
      <w:r>
        <w:rPr>
          <w:rFonts w:hint="eastAsia" w:cs="Times New Roman"/>
          <w:color w:val="auto"/>
          <w:kern w:val="2"/>
          <w:sz w:val="24"/>
          <w:highlight w:val="none"/>
          <w:lang w:val="en-US" w:eastAsia="zh-CN" w:bidi="ar-SA"/>
        </w:rPr>
        <w:t>提交</w:t>
      </w:r>
      <w:r>
        <w:rPr>
          <w:rFonts w:hint="eastAsia" w:ascii="Times New Roman" w:hAnsi="Times New Roman" w:eastAsia="方正仿宋_GBK" w:cs="Times New Roman"/>
          <w:color w:val="auto"/>
          <w:kern w:val="2"/>
          <w:sz w:val="24"/>
          <w:highlight w:val="none"/>
          <w:lang w:val="en-US" w:eastAsia="zh-CN" w:bidi="ar-SA"/>
        </w:rPr>
        <w:t>的报价</w:t>
      </w:r>
      <w:r>
        <w:rPr>
          <w:rFonts w:hint="eastAsia" w:cs="Times New Roman"/>
          <w:color w:val="auto"/>
          <w:kern w:val="2"/>
          <w:sz w:val="24"/>
          <w:highlight w:val="none"/>
          <w:lang w:val="en-US" w:eastAsia="zh-CN" w:bidi="ar-SA"/>
        </w:rPr>
        <w:t>）</w:t>
      </w:r>
      <w:r>
        <w:rPr>
          <w:rFonts w:hint="eastAsia" w:ascii="Times New Roman" w:hAnsi="Times New Roman" w:eastAsia="方正仿宋_GBK" w:cs="Times New Roman"/>
          <w:color w:val="auto"/>
          <w:kern w:val="2"/>
          <w:sz w:val="24"/>
          <w:highlight w:val="none"/>
          <w:lang w:val="en-US" w:eastAsia="zh-CN" w:bidi="ar-SA"/>
        </w:rPr>
        <w:t>，不</w:t>
      </w:r>
      <w:r>
        <w:rPr>
          <w:rFonts w:hint="eastAsia" w:cs="Times New Roman"/>
          <w:color w:val="auto"/>
          <w:kern w:val="2"/>
          <w:sz w:val="24"/>
          <w:highlight w:val="none"/>
          <w:lang w:val="en-US" w:eastAsia="zh-CN" w:bidi="ar-SA"/>
        </w:rPr>
        <w:t>接受二次</w:t>
      </w:r>
      <w:r>
        <w:rPr>
          <w:rFonts w:hint="eastAsia" w:ascii="Times New Roman" w:hAnsi="Times New Roman" w:eastAsia="方正仿宋_GBK" w:cs="Times New Roman"/>
          <w:color w:val="auto"/>
          <w:kern w:val="2"/>
          <w:sz w:val="24"/>
          <w:highlight w:val="none"/>
          <w:lang w:val="en-US" w:eastAsia="zh-CN" w:bidi="ar-SA"/>
        </w:rPr>
        <w:t>报价和现场报价</w:t>
      </w:r>
      <w:r>
        <w:rPr>
          <w:rFonts w:hint="eastAsia" w:ascii="Times New Roman" w:eastAsia="方正仿宋_GBK" w:cs="Times New Roman"/>
          <w:color w:val="auto"/>
          <w:kern w:val="2"/>
          <w:sz w:val="24"/>
          <w:highlight w:val="none"/>
          <w:lang w:val="en-US" w:eastAsia="zh-CN" w:bidi="ar-SA"/>
        </w:rPr>
        <w:t>。</w:t>
      </w:r>
    </w:p>
    <w:p>
      <w:pPr>
        <w:ind w:firstLine="480" w:firstLineChars="200"/>
        <w:rPr>
          <w:color w:val="auto"/>
          <w:highlight w:val="none"/>
        </w:rPr>
      </w:pPr>
      <w:r>
        <w:rPr>
          <w:rFonts w:hint="eastAsia"/>
          <w:color w:val="auto"/>
          <w:highlight w:val="none"/>
        </w:rPr>
        <w:t>若排名第一的候选供应商放弃成交、因不可抗力不能履行合同、不按照磋商文件要求提交履约保证金，或者被查实存在影响成交结果的违法行为等情形，不符合成交条件的，采购人可以按照评审小组会提出的成交候选人名单排序依次确定其他候选供应商为成交人，也可以重新采购。</w:t>
      </w:r>
    </w:p>
    <w:p>
      <w:pPr>
        <w:ind w:firstLine="480" w:firstLineChars="200"/>
        <w:rPr>
          <w:color w:val="auto"/>
          <w:highlight w:val="none"/>
        </w:rPr>
      </w:pPr>
      <w:r>
        <w:rPr>
          <w:rFonts w:hint="eastAsia"/>
          <w:color w:val="auto"/>
          <w:highlight w:val="none"/>
        </w:rPr>
        <w:t>第一候选供应商非因不可抗力不能履行合同的将视为第一候选供应商违约并将其</w:t>
      </w:r>
      <w:r>
        <w:rPr>
          <w:rFonts w:hint="eastAsia"/>
          <w:color w:val="auto"/>
          <w:highlight w:val="none"/>
          <w:lang w:eastAsia="zh-CN"/>
        </w:rPr>
        <w:t>投标保证金</w:t>
      </w:r>
      <w:r>
        <w:rPr>
          <w:rFonts w:hint="eastAsia"/>
          <w:color w:val="auto"/>
          <w:highlight w:val="none"/>
        </w:rPr>
        <w:t>作为违约金不予退还</w:t>
      </w:r>
      <w:r>
        <w:rPr>
          <w:color w:val="auto"/>
          <w:highlight w:val="none"/>
        </w:rPr>
        <w:t>。</w:t>
      </w:r>
    </w:p>
    <w:p>
      <w:pPr>
        <w:ind w:firstLine="480" w:firstLineChars="200"/>
        <w:rPr>
          <w:color w:val="auto"/>
          <w:highlight w:val="none"/>
        </w:rPr>
      </w:pPr>
    </w:p>
    <w:p>
      <w:pPr>
        <w:pStyle w:val="4"/>
        <w:ind w:firstLine="480"/>
        <w:rPr>
          <w:color w:val="auto"/>
          <w:highlight w:val="none"/>
        </w:rPr>
      </w:pPr>
      <w:bookmarkStart w:id="116" w:name="_Toc32329221"/>
      <w:bookmarkStart w:id="117" w:name="_Toc36064081"/>
      <w:bookmarkStart w:id="118" w:name="_Toc36064045"/>
      <w:bookmarkStart w:id="119" w:name="_Toc36064009"/>
      <w:bookmarkStart w:id="120" w:name="_Toc32329080"/>
      <w:bookmarkStart w:id="121" w:name="_Toc32329133"/>
      <w:bookmarkStart w:id="122" w:name="_Toc32329179"/>
      <w:r>
        <w:rPr>
          <w:color w:val="auto"/>
          <w:highlight w:val="none"/>
        </w:rPr>
        <w:br w:type="page"/>
      </w:r>
      <w:r>
        <w:rPr>
          <w:color w:val="auto"/>
          <w:highlight w:val="none"/>
        </w:rPr>
        <w:t>二、</w:t>
      </w:r>
      <w:bookmarkStart w:id="123" w:name="_Toc342913394"/>
      <w:bookmarkStart w:id="124" w:name="_Toc102227320"/>
      <w:r>
        <w:rPr>
          <w:color w:val="auto"/>
          <w:highlight w:val="none"/>
        </w:rPr>
        <w:t>评审标准</w:t>
      </w:r>
      <w:bookmarkEnd w:id="116"/>
      <w:bookmarkEnd w:id="117"/>
      <w:bookmarkEnd w:id="118"/>
      <w:bookmarkEnd w:id="119"/>
      <w:bookmarkEnd w:id="120"/>
      <w:bookmarkEnd w:id="121"/>
      <w:bookmarkEnd w:id="122"/>
    </w:p>
    <w:p>
      <w:pPr>
        <w:pStyle w:val="2"/>
        <w:rPr>
          <w:color w:val="auto"/>
          <w:highlight w:val="none"/>
        </w:rPr>
      </w:pPr>
    </w:p>
    <w:tbl>
      <w:tblPr>
        <w:tblStyle w:val="59"/>
        <w:tblW w:w="85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155"/>
        <w:gridCol w:w="470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99" w:type="dxa"/>
            <w:vAlign w:val="center"/>
          </w:tcPr>
          <w:p>
            <w:pPr>
              <w:spacing w:line="240" w:lineRule="atLeast"/>
              <w:ind w:firstLine="28"/>
              <w:jc w:val="center"/>
              <w:rPr>
                <w:rFonts w:ascii="微软雅黑" w:eastAsia="微软雅黑"/>
                <w:b/>
                <w:color w:val="auto"/>
                <w:sz w:val="21"/>
                <w:szCs w:val="21"/>
                <w:highlight w:val="none"/>
              </w:rPr>
            </w:pPr>
            <w:bookmarkStart w:id="125" w:name="_Toc428437947" w:colFirst="0" w:colLast="5"/>
            <w:r>
              <w:rPr>
                <w:rFonts w:hint="eastAsia" w:ascii="微软雅黑" w:eastAsia="微软雅黑"/>
                <w:b/>
                <w:color w:val="auto"/>
                <w:sz w:val="21"/>
                <w:szCs w:val="21"/>
                <w:highlight w:val="none"/>
              </w:rPr>
              <w:t>评分因素</w:t>
            </w:r>
          </w:p>
        </w:tc>
        <w:tc>
          <w:tcPr>
            <w:tcW w:w="1155" w:type="dxa"/>
            <w:vAlign w:val="center"/>
          </w:tcPr>
          <w:p>
            <w:pPr>
              <w:spacing w:line="240" w:lineRule="atLeast"/>
              <w:ind w:firstLine="28"/>
              <w:jc w:val="center"/>
              <w:rPr>
                <w:rFonts w:ascii="微软雅黑" w:eastAsia="微软雅黑"/>
                <w:b/>
                <w:color w:val="auto"/>
                <w:sz w:val="21"/>
                <w:szCs w:val="21"/>
                <w:highlight w:val="none"/>
              </w:rPr>
            </w:pPr>
            <w:r>
              <w:rPr>
                <w:rFonts w:hint="eastAsia" w:ascii="微软雅黑" w:eastAsia="微软雅黑"/>
                <w:b/>
                <w:color w:val="auto"/>
                <w:sz w:val="21"/>
                <w:szCs w:val="21"/>
                <w:highlight w:val="none"/>
              </w:rPr>
              <w:t>分值</w:t>
            </w:r>
          </w:p>
        </w:tc>
        <w:tc>
          <w:tcPr>
            <w:tcW w:w="4701" w:type="dxa"/>
            <w:vAlign w:val="center"/>
          </w:tcPr>
          <w:p>
            <w:pPr>
              <w:spacing w:line="240" w:lineRule="atLeast"/>
              <w:ind w:firstLine="28"/>
              <w:jc w:val="center"/>
              <w:rPr>
                <w:rFonts w:ascii="微软雅黑" w:eastAsia="微软雅黑"/>
                <w:b/>
                <w:color w:val="auto"/>
                <w:sz w:val="21"/>
                <w:szCs w:val="21"/>
                <w:highlight w:val="none"/>
              </w:rPr>
            </w:pPr>
            <w:r>
              <w:rPr>
                <w:rFonts w:hint="eastAsia" w:ascii="微软雅黑" w:eastAsia="微软雅黑"/>
                <w:b/>
                <w:color w:val="auto"/>
                <w:sz w:val="21"/>
                <w:szCs w:val="21"/>
                <w:highlight w:val="none"/>
              </w:rPr>
              <w:t>评分标准</w:t>
            </w:r>
          </w:p>
        </w:tc>
        <w:tc>
          <w:tcPr>
            <w:tcW w:w="1575" w:type="dxa"/>
            <w:vAlign w:val="center"/>
          </w:tcPr>
          <w:p>
            <w:pPr>
              <w:spacing w:line="240" w:lineRule="atLeast"/>
              <w:jc w:val="center"/>
              <w:rPr>
                <w:rFonts w:ascii="微软雅黑" w:eastAsia="微软雅黑"/>
                <w:b/>
                <w:color w:val="auto"/>
                <w:sz w:val="21"/>
                <w:szCs w:val="21"/>
                <w:highlight w:val="none"/>
              </w:rPr>
            </w:pPr>
            <w:r>
              <w:rPr>
                <w:rFonts w:hint="eastAsia" w:ascii="微软雅黑" w:eastAsia="微软雅黑"/>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1099" w:type="dxa"/>
            <w:tcBorders>
              <w:top w:val="single" w:color="auto" w:sz="4" w:space="0"/>
            </w:tcBorders>
            <w:vAlign w:val="center"/>
          </w:tcPr>
          <w:p>
            <w:pPr>
              <w:rPr>
                <w:color w:val="auto"/>
                <w:highlight w:val="none"/>
              </w:rPr>
            </w:pPr>
            <w:r>
              <w:rPr>
                <w:rFonts w:hint="eastAsia" w:ascii="微软雅黑" w:eastAsia="微软雅黑"/>
                <w:color w:val="auto"/>
                <w:sz w:val="21"/>
                <w:szCs w:val="21"/>
                <w:highlight w:val="none"/>
              </w:rPr>
              <w:t>技术部分</w:t>
            </w:r>
          </w:p>
        </w:tc>
        <w:tc>
          <w:tcPr>
            <w:tcW w:w="1155" w:type="dxa"/>
            <w:tcBorders>
              <w:top w:val="single" w:color="auto" w:sz="4" w:space="0"/>
              <w:bottom w:val="nil"/>
            </w:tcBorders>
            <w:vAlign w:val="center"/>
          </w:tcPr>
          <w:p>
            <w:pPr>
              <w:spacing w:line="240" w:lineRule="atLeast"/>
              <w:rPr>
                <w:rFonts w:ascii="微软雅黑" w:eastAsia="微软雅黑"/>
                <w:color w:val="auto"/>
                <w:sz w:val="21"/>
                <w:szCs w:val="21"/>
                <w:highlight w:val="none"/>
              </w:rPr>
            </w:pPr>
            <w:r>
              <w:rPr>
                <w:rFonts w:hint="eastAsia" w:ascii="微软雅黑" w:eastAsia="微软雅黑" w:cs="宋体"/>
                <w:color w:val="auto"/>
                <w:sz w:val="21"/>
                <w:szCs w:val="21"/>
                <w:highlight w:val="none"/>
              </w:rPr>
              <w:t>供货方案编制（40分）</w:t>
            </w:r>
          </w:p>
        </w:tc>
        <w:tc>
          <w:tcPr>
            <w:tcW w:w="4701" w:type="dxa"/>
            <w:tcBorders>
              <w:top w:val="single" w:color="auto" w:sz="4" w:space="0"/>
            </w:tcBorders>
            <w:vAlign w:val="center"/>
          </w:tcPr>
          <w:p>
            <w:pPr>
              <w:snapToGrid w:val="0"/>
              <w:spacing w:line="300" w:lineRule="exact"/>
              <w:rPr>
                <w:rFonts w:ascii="微软雅黑" w:eastAsia="微软雅黑" w:cs="宋体"/>
                <w:color w:val="auto"/>
                <w:sz w:val="21"/>
                <w:szCs w:val="21"/>
                <w:highlight w:val="none"/>
              </w:rPr>
            </w:pPr>
            <w:r>
              <w:rPr>
                <w:rFonts w:hint="eastAsia" w:ascii="微软雅黑" w:eastAsia="微软雅黑" w:cs="宋体"/>
                <w:color w:val="auto"/>
                <w:sz w:val="21"/>
                <w:szCs w:val="21"/>
                <w:highlight w:val="none"/>
              </w:rPr>
              <w:t>1、产品质量保证措施：具有完善的产品质量承诺及对应处罚措施，针对装车、运输、卸货、使用等安全保障措施具体，有质量保障措施，针对性强得7分（不含）—10分（含），一般得4分（不含）—7分（含），较差得0分（不含）—4分（含）。</w:t>
            </w:r>
          </w:p>
          <w:p>
            <w:pPr>
              <w:snapToGrid w:val="0"/>
              <w:spacing w:line="300" w:lineRule="exact"/>
              <w:ind w:firstLine="210" w:firstLineChars="100"/>
              <w:rPr>
                <w:rFonts w:ascii="微软雅黑" w:eastAsia="微软雅黑" w:cs="宋体"/>
                <w:color w:val="auto"/>
                <w:sz w:val="21"/>
                <w:szCs w:val="21"/>
                <w:highlight w:val="none"/>
              </w:rPr>
            </w:pPr>
            <w:r>
              <w:rPr>
                <w:rFonts w:hint="eastAsia" w:ascii="微软雅黑" w:eastAsia="微软雅黑" w:cs="宋体"/>
                <w:color w:val="auto"/>
                <w:sz w:val="21"/>
                <w:szCs w:val="21"/>
                <w:highlight w:val="none"/>
              </w:rPr>
              <w:t>2、提供供货保障方案：针对本项目的货物运输服务方案、运输能力、运输资质、运输及时性、运输安全性等内容进行评审，内容具体有针对性、科学合理得7分（不含）—10分（含），一般得4分（不含）—7分（含），较差得0分（不含）—4分（含）。</w:t>
            </w:r>
          </w:p>
          <w:p>
            <w:pPr>
              <w:snapToGrid w:val="0"/>
              <w:spacing w:line="300" w:lineRule="exact"/>
              <w:ind w:firstLine="210" w:firstLineChars="100"/>
              <w:rPr>
                <w:rFonts w:ascii="微软雅黑" w:eastAsia="微软雅黑" w:cs="宋体"/>
                <w:color w:val="auto"/>
                <w:sz w:val="21"/>
                <w:szCs w:val="21"/>
                <w:highlight w:val="none"/>
              </w:rPr>
            </w:pPr>
            <w:r>
              <w:rPr>
                <w:rFonts w:hint="eastAsia" w:ascii="微软雅黑" w:eastAsia="微软雅黑" w:cs="宋体"/>
                <w:color w:val="auto"/>
                <w:sz w:val="21"/>
                <w:szCs w:val="21"/>
                <w:highlight w:val="none"/>
              </w:rPr>
              <w:t>3、安全保障措施及应急措施方案：针对本项目安全保障措施及应急措施方案具备可操性，满足采购人可能存在突发安全、环境事故情况下应急需要的得7分（不含）—10分（含），一般得4分（不含）—7分（含），较差得0分（不含）—4分（含）。</w:t>
            </w:r>
          </w:p>
          <w:p>
            <w:pPr>
              <w:snapToGrid w:val="0"/>
              <w:spacing w:line="300" w:lineRule="exact"/>
              <w:ind w:firstLine="210" w:firstLineChars="100"/>
              <w:rPr>
                <w:rFonts w:ascii="微软雅黑" w:eastAsia="微软雅黑" w:cs="宋体"/>
                <w:color w:val="auto"/>
                <w:sz w:val="21"/>
                <w:szCs w:val="21"/>
                <w:highlight w:val="none"/>
              </w:rPr>
            </w:pPr>
            <w:r>
              <w:rPr>
                <w:rFonts w:hint="eastAsia" w:ascii="微软雅黑" w:eastAsia="微软雅黑" w:cs="宋体"/>
                <w:color w:val="auto"/>
                <w:sz w:val="21"/>
                <w:szCs w:val="21"/>
                <w:highlight w:val="none"/>
              </w:rPr>
              <w:t>4、供应商申请人应结合本项目釆购需求编制项目</w:t>
            </w:r>
            <w:r>
              <w:rPr>
                <w:rFonts w:hint="eastAsia" w:ascii="方正仿宋_GBK"/>
                <w:b/>
                <w:color w:val="auto"/>
                <w:szCs w:val="24"/>
                <w:highlight w:val="none"/>
              </w:rPr>
              <w:t>售后服务</w:t>
            </w:r>
            <w:r>
              <w:rPr>
                <w:rFonts w:hint="eastAsia" w:ascii="微软雅黑" w:eastAsia="微软雅黑" w:cs="宋体"/>
                <w:color w:val="auto"/>
                <w:sz w:val="21"/>
                <w:szCs w:val="21"/>
                <w:highlight w:val="none"/>
              </w:rPr>
              <w:t>方案，内容包括但不限于（1）售后服务流程、（2）售后服务团队人员数量及专业能力、（3）售后服务响应、（4）售后技术支持等。内容具有针对性、可操作性、科学合理性，符合项目需求、满足服务要求的得7分（不含）—10分（含），一般得4分（不含）—7分（含），较差得0分（不含）—4分（含）。</w:t>
            </w:r>
          </w:p>
          <w:p>
            <w:pPr>
              <w:snapToGrid w:val="0"/>
              <w:spacing w:line="300" w:lineRule="exact"/>
              <w:ind w:firstLine="210" w:firstLineChars="100"/>
              <w:rPr>
                <w:color w:val="auto"/>
                <w:highlight w:val="none"/>
              </w:rPr>
            </w:pPr>
            <w:r>
              <w:rPr>
                <w:rFonts w:hint="eastAsia" w:ascii="微软雅黑" w:eastAsia="微软雅黑" w:cs="宋体"/>
                <w:color w:val="auto"/>
                <w:sz w:val="21"/>
                <w:szCs w:val="21"/>
                <w:highlight w:val="none"/>
              </w:rPr>
              <w:t>本项最多得40分，不提供得0分。</w:t>
            </w:r>
          </w:p>
        </w:tc>
        <w:tc>
          <w:tcPr>
            <w:tcW w:w="1575" w:type="dxa"/>
            <w:tcBorders>
              <w:top w:val="single" w:color="auto" w:sz="4" w:space="0"/>
            </w:tcBorders>
            <w:vAlign w:val="center"/>
          </w:tcPr>
          <w:p>
            <w:pPr>
              <w:snapToGrid w:val="0"/>
              <w:spacing w:line="300" w:lineRule="exact"/>
              <w:rPr>
                <w:rFonts w:ascii="微软雅黑" w:eastAsia="微软雅黑" w:cs="宋体"/>
                <w:color w:val="auto"/>
                <w:sz w:val="21"/>
                <w:szCs w:val="21"/>
                <w:highlight w:val="none"/>
              </w:rPr>
            </w:pPr>
            <w:r>
              <w:rPr>
                <w:rFonts w:hint="eastAsia" w:ascii="微软雅黑" w:eastAsia="微软雅黑" w:cs="宋体"/>
                <w:color w:val="auto"/>
                <w:sz w:val="21"/>
                <w:szCs w:val="21"/>
                <w:highlight w:val="none"/>
              </w:rPr>
              <w:t>需认真阅读本项目采购合同及采购清单，结合实际，以即日起至2023年3月15日止为供货期进行供货方案编制。</w:t>
            </w:r>
          </w:p>
        </w:tc>
      </w:tr>
      <w:bookmarkEnd w:id="125"/>
    </w:tbl>
    <w:p>
      <w:pPr>
        <w:ind w:firstLine="480" w:firstLineChars="200"/>
        <w:rPr>
          <w:color w:val="auto"/>
          <w:highlight w:val="none"/>
        </w:rPr>
      </w:pPr>
      <w:r>
        <w:rPr>
          <w:color w:val="auto"/>
          <w:highlight w:val="none"/>
        </w:rPr>
        <w:t>说明：</w:t>
      </w:r>
      <w:r>
        <w:rPr>
          <w:rFonts w:hint="eastAsia"/>
          <w:color w:val="auto"/>
          <w:highlight w:val="none"/>
        </w:rPr>
        <w:t>供应商</w:t>
      </w:r>
      <w:r>
        <w:rPr>
          <w:color w:val="auto"/>
          <w:highlight w:val="none"/>
        </w:rPr>
        <w:t>只能在采购预算范围内报价，只能有一个有效报价，不得提交选择性报价。</w:t>
      </w:r>
      <w:r>
        <w:rPr>
          <w:rFonts w:hint="eastAsia"/>
          <w:color w:val="auto"/>
          <w:highlight w:val="none"/>
        </w:rPr>
        <w:t>磋商评审小组</w:t>
      </w:r>
      <w:r>
        <w:rPr>
          <w:color w:val="auto"/>
          <w:highlight w:val="none"/>
        </w:rPr>
        <w:t>认为</w:t>
      </w:r>
      <w:r>
        <w:rPr>
          <w:rFonts w:hint="eastAsia"/>
          <w:color w:val="auto"/>
          <w:highlight w:val="none"/>
        </w:rPr>
        <w:t>供应商</w:t>
      </w:r>
      <w:r>
        <w:rPr>
          <w:color w:val="auto"/>
          <w:highlight w:val="none"/>
        </w:rPr>
        <w:t>的报价明显低于其他通过符合性审查</w:t>
      </w:r>
      <w:r>
        <w:rPr>
          <w:rFonts w:hint="eastAsia"/>
          <w:color w:val="auto"/>
          <w:highlight w:val="none"/>
        </w:rPr>
        <w:t>供应商</w:t>
      </w:r>
      <w:r>
        <w:rPr>
          <w:color w:val="auto"/>
          <w:highlight w:val="none"/>
        </w:rPr>
        <w:t>的报价，有可能影响产品质量或者不能诚信履约的，应当要求其在评标现场合理的时间内提供书面说明，必要时提交相关证明材料；</w:t>
      </w:r>
      <w:r>
        <w:rPr>
          <w:rFonts w:hint="eastAsia"/>
          <w:color w:val="auto"/>
          <w:highlight w:val="none"/>
        </w:rPr>
        <w:t>供应商</w:t>
      </w:r>
      <w:r>
        <w:rPr>
          <w:color w:val="auto"/>
          <w:highlight w:val="none"/>
        </w:rPr>
        <w:t>不能证明其报价合理性的，</w:t>
      </w:r>
      <w:r>
        <w:rPr>
          <w:rFonts w:hint="eastAsia"/>
          <w:color w:val="auto"/>
          <w:highlight w:val="none"/>
        </w:rPr>
        <w:t>磋商评审小组</w:t>
      </w:r>
      <w:r>
        <w:rPr>
          <w:color w:val="auto"/>
          <w:highlight w:val="none"/>
        </w:rPr>
        <w:t>应当将其作为无效处理。</w:t>
      </w:r>
    </w:p>
    <w:p>
      <w:pPr>
        <w:pStyle w:val="4"/>
        <w:ind w:firstLine="480"/>
        <w:rPr>
          <w:color w:val="auto"/>
          <w:highlight w:val="none"/>
        </w:rPr>
      </w:pPr>
      <w:bookmarkStart w:id="126" w:name="_Toc36064082"/>
      <w:bookmarkStart w:id="127" w:name="_Toc32329180"/>
      <w:bookmarkStart w:id="128" w:name="_Toc32329134"/>
      <w:bookmarkStart w:id="129" w:name="_Toc32329081"/>
      <w:bookmarkStart w:id="130" w:name="_Toc36064010"/>
      <w:bookmarkStart w:id="131" w:name="_Toc36064046"/>
      <w:bookmarkStart w:id="132" w:name="_Toc32329222"/>
      <w:r>
        <w:rPr>
          <w:color w:val="auto"/>
          <w:highlight w:val="none"/>
        </w:rPr>
        <w:t>三、无效响应</w:t>
      </w:r>
      <w:bookmarkEnd w:id="126"/>
      <w:bookmarkEnd w:id="127"/>
      <w:bookmarkEnd w:id="128"/>
      <w:bookmarkEnd w:id="129"/>
      <w:bookmarkEnd w:id="130"/>
      <w:bookmarkEnd w:id="131"/>
      <w:bookmarkEnd w:id="132"/>
    </w:p>
    <w:p>
      <w:pPr>
        <w:ind w:firstLine="480" w:firstLineChars="200"/>
        <w:rPr>
          <w:color w:val="auto"/>
          <w:highlight w:val="none"/>
        </w:rPr>
      </w:pPr>
      <w:r>
        <w:rPr>
          <w:rFonts w:hint="eastAsia"/>
          <w:color w:val="auto"/>
          <w:highlight w:val="none"/>
        </w:rPr>
        <w:t>供应商</w:t>
      </w:r>
      <w:r>
        <w:rPr>
          <w:color w:val="auto"/>
          <w:highlight w:val="none"/>
        </w:rPr>
        <w:t>发生以下条款情况之一者，视为无效响应，其响应文件将被拒绝：</w:t>
      </w:r>
    </w:p>
    <w:p>
      <w:pPr>
        <w:ind w:firstLine="480" w:firstLineChars="200"/>
        <w:rPr>
          <w:color w:val="auto"/>
          <w:highlight w:val="none"/>
        </w:rPr>
      </w:pPr>
      <w:r>
        <w:rPr>
          <w:color w:val="auto"/>
          <w:highlight w:val="none"/>
        </w:rPr>
        <w:t>（一）</w:t>
      </w:r>
      <w:r>
        <w:rPr>
          <w:rFonts w:hint="eastAsia"/>
          <w:color w:val="auto"/>
          <w:highlight w:val="none"/>
        </w:rPr>
        <w:t>供应商</w:t>
      </w:r>
      <w:r>
        <w:rPr>
          <w:color w:val="auto"/>
          <w:highlight w:val="none"/>
        </w:rPr>
        <w:t>不符合规定的基本资格条件或特定资格条件的；</w:t>
      </w:r>
    </w:p>
    <w:p>
      <w:pPr>
        <w:ind w:firstLine="480" w:firstLineChars="200"/>
        <w:rPr>
          <w:color w:val="auto"/>
          <w:highlight w:val="none"/>
        </w:rPr>
      </w:pPr>
      <w:r>
        <w:rPr>
          <w:color w:val="auto"/>
          <w:highlight w:val="none"/>
        </w:rPr>
        <w:t>（二）</w:t>
      </w:r>
      <w:r>
        <w:rPr>
          <w:rFonts w:hint="eastAsia"/>
          <w:color w:val="auto"/>
          <w:highlight w:val="none"/>
        </w:rPr>
        <w:t>供应商</w:t>
      </w:r>
      <w:r>
        <w:rPr>
          <w:color w:val="auto"/>
          <w:highlight w:val="none"/>
        </w:rPr>
        <w:t>的法定代表人或其授权代表未参加磋商；</w:t>
      </w:r>
    </w:p>
    <w:p>
      <w:pPr>
        <w:ind w:firstLine="480" w:firstLineChars="200"/>
        <w:rPr>
          <w:color w:val="auto"/>
          <w:highlight w:val="none"/>
        </w:rPr>
      </w:pPr>
      <w:r>
        <w:rPr>
          <w:color w:val="auto"/>
          <w:highlight w:val="none"/>
        </w:rPr>
        <w:t>（三）</w:t>
      </w:r>
      <w:r>
        <w:rPr>
          <w:rFonts w:hint="eastAsia"/>
          <w:color w:val="auto"/>
          <w:highlight w:val="none"/>
        </w:rPr>
        <w:t>供应商</w:t>
      </w:r>
      <w:r>
        <w:rPr>
          <w:color w:val="auto"/>
          <w:highlight w:val="none"/>
        </w:rPr>
        <w:t>未按照竞争性磋商文件的要求缴纳</w:t>
      </w:r>
      <w:r>
        <w:rPr>
          <w:rFonts w:hint="eastAsia"/>
          <w:color w:val="auto"/>
          <w:highlight w:val="none"/>
          <w:lang w:eastAsia="zh-CN"/>
        </w:rPr>
        <w:t>投标保证金</w:t>
      </w:r>
      <w:r>
        <w:rPr>
          <w:color w:val="auto"/>
          <w:highlight w:val="none"/>
        </w:rPr>
        <w:t>；</w:t>
      </w:r>
    </w:p>
    <w:p>
      <w:pPr>
        <w:ind w:firstLine="480" w:firstLineChars="200"/>
        <w:rPr>
          <w:color w:val="auto"/>
          <w:highlight w:val="none"/>
        </w:rPr>
      </w:pPr>
      <w:r>
        <w:rPr>
          <w:color w:val="auto"/>
          <w:highlight w:val="none"/>
        </w:rPr>
        <w:t>（四）</w:t>
      </w:r>
      <w:r>
        <w:rPr>
          <w:rFonts w:hint="eastAsia"/>
          <w:color w:val="auto"/>
          <w:highlight w:val="none"/>
        </w:rPr>
        <w:t>供应商</w:t>
      </w:r>
      <w:r>
        <w:rPr>
          <w:color w:val="auto"/>
          <w:highlight w:val="none"/>
        </w:rPr>
        <w:t>的最后报价超过采购预算的；</w:t>
      </w:r>
    </w:p>
    <w:p>
      <w:pPr>
        <w:ind w:firstLine="480" w:firstLineChars="200"/>
        <w:rPr>
          <w:color w:val="auto"/>
          <w:highlight w:val="none"/>
        </w:rPr>
      </w:pPr>
      <w:r>
        <w:rPr>
          <w:color w:val="auto"/>
          <w:highlight w:val="none"/>
        </w:rPr>
        <w:t>（五）</w:t>
      </w:r>
      <w:r>
        <w:rPr>
          <w:rFonts w:hint="eastAsia"/>
          <w:color w:val="auto"/>
          <w:highlight w:val="none"/>
        </w:rPr>
        <w:t>供应商</w:t>
      </w:r>
      <w:r>
        <w:rPr>
          <w:color w:val="auto"/>
          <w:highlight w:val="none"/>
        </w:rPr>
        <w:t>未响应资格性检查和符合性检查要求的；</w:t>
      </w:r>
    </w:p>
    <w:p>
      <w:pPr>
        <w:ind w:firstLine="480" w:firstLineChars="200"/>
        <w:rPr>
          <w:color w:val="auto"/>
          <w:highlight w:val="none"/>
        </w:rPr>
      </w:pPr>
      <w:r>
        <w:rPr>
          <w:color w:val="auto"/>
          <w:highlight w:val="none"/>
        </w:rPr>
        <w:t>（六）</w:t>
      </w:r>
      <w:r>
        <w:rPr>
          <w:rFonts w:hint="eastAsia"/>
          <w:color w:val="auto"/>
          <w:highlight w:val="none"/>
        </w:rPr>
        <w:t>供应商</w:t>
      </w:r>
      <w:r>
        <w:rPr>
          <w:color w:val="auto"/>
          <w:highlight w:val="none"/>
        </w:rPr>
        <w:t>超出营业范围</w:t>
      </w:r>
      <w:r>
        <w:rPr>
          <w:rFonts w:hint="eastAsia"/>
          <w:color w:val="auto"/>
          <w:highlight w:val="none"/>
        </w:rPr>
        <w:t>参与磋商</w:t>
      </w:r>
      <w:r>
        <w:rPr>
          <w:color w:val="auto"/>
          <w:highlight w:val="none"/>
        </w:rPr>
        <w:t>的；</w:t>
      </w:r>
    </w:p>
    <w:p>
      <w:pPr>
        <w:ind w:firstLine="480" w:firstLineChars="200"/>
        <w:rPr>
          <w:color w:val="auto"/>
          <w:highlight w:val="none"/>
        </w:rPr>
      </w:pPr>
      <w:r>
        <w:rPr>
          <w:color w:val="auto"/>
          <w:highlight w:val="none"/>
        </w:rPr>
        <w:t>（七）法定代表人为同一个人的两个及两个以上法人，母公司、全资子公司及其控股公司，在同一分包采购中同时参与磋商；</w:t>
      </w:r>
    </w:p>
    <w:p>
      <w:pPr>
        <w:ind w:firstLine="480" w:firstLineChars="200"/>
        <w:rPr>
          <w:color w:val="auto"/>
          <w:highlight w:val="none"/>
        </w:rPr>
      </w:pPr>
      <w:r>
        <w:rPr>
          <w:color w:val="auto"/>
          <w:highlight w:val="none"/>
        </w:rPr>
        <w:t>（八）单位负责人为同一人或者存在直接控股、管理关系的不同</w:t>
      </w:r>
      <w:r>
        <w:rPr>
          <w:rFonts w:hint="eastAsia"/>
          <w:color w:val="auto"/>
          <w:highlight w:val="none"/>
        </w:rPr>
        <w:t>供应商</w:t>
      </w:r>
      <w:r>
        <w:rPr>
          <w:color w:val="auto"/>
          <w:highlight w:val="none"/>
        </w:rPr>
        <w:t>，参加同一合同项下的</w:t>
      </w:r>
      <w:r>
        <w:rPr>
          <w:rFonts w:hint="eastAsia"/>
          <w:color w:val="auto"/>
          <w:highlight w:val="none"/>
        </w:rPr>
        <w:t>本次采购</w:t>
      </w:r>
      <w:r>
        <w:rPr>
          <w:color w:val="auto"/>
          <w:highlight w:val="none"/>
        </w:rPr>
        <w:t>活动的；</w:t>
      </w:r>
    </w:p>
    <w:p>
      <w:pPr>
        <w:ind w:firstLine="480" w:firstLineChars="200"/>
        <w:rPr>
          <w:color w:val="auto"/>
          <w:highlight w:val="none"/>
        </w:rPr>
      </w:pPr>
      <w:r>
        <w:rPr>
          <w:color w:val="auto"/>
          <w:highlight w:val="none"/>
        </w:rPr>
        <w:t>（九）为采购项目提供整体设计、规范编制或者项目管理、监理、检测等服务的</w:t>
      </w:r>
      <w:r>
        <w:rPr>
          <w:rFonts w:hint="eastAsia"/>
          <w:color w:val="auto"/>
          <w:highlight w:val="none"/>
        </w:rPr>
        <w:t>供应商</w:t>
      </w:r>
      <w:r>
        <w:rPr>
          <w:color w:val="auto"/>
          <w:highlight w:val="none"/>
        </w:rPr>
        <w:t>，再参加该采购项目的其他采购活动；</w:t>
      </w:r>
    </w:p>
    <w:p>
      <w:pPr>
        <w:ind w:firstLine="480" w:firstLineChars="200"/>
        <w:rPr>
          <w:color w:val="auto"/>
          <w:highlight w:val="none"/>
        </w:rPr>
      </w:pPr>
      <w:r>
        <w:rPr>
          <w:color w:val="auto"/>
          <w:highlight w:val="none"/>
        </w:rPr>
        <w:t>（十）</w:t>
      </w:r>
      <w:r>
        <w:rPr>
          <w:rFonts w:hint="eastAsia"/>
          <w:color w:val="auto"/>
          <w:highlight w:val="none"/>
        </w:rPr>
        <w:t>供应商</w:t>
      </w:r>
      <w:r>
        <w:rPr>
          <w:color w:val="auto"/>
          <w:highlight w:val="none"/>
        </w:rPr>
        <w:t>的服务期、质量保证期及磋商有效期不满足竞争性磋商文件要求的；</w:t>
      </w:r>
    </w:p>
    <w:p>
      <w:pPr>
        <w:ind w:firstLine="480" w:firstLineChars="200"/>
        <w:rPr>
          <w:color w:val="auto"/>
          <w:highlight w:val="none"/>
        </w:rPr>
      </w:pPr>
      <w:r>
        <w:rPr>
          <w:color w:val="auto"/>
          <w:highlight w:val="none"/>
        </w:rPr>
        <w:t>（十一）</w:t>
      </w:r>
      <w:r>
        <w:rPr>
          <w:rFonts w:hint="eastAsia"/>
          <w:color w:val="auto"/>
          <w:highlight w:val="none"/>
        </w:rPr>
        <w:t>供应商</w:t>
      </w:r>
      <w:r>
        <w:rPr>
          <w:color w:val="auto"/>
          <w:highlight w:val="none"/>
        </w:rPr>
        <w:t>响应文件内容有与国家现行法律法规相违背的内容，或附有采购人无法接受的条件；</w:t>
      </w:r>
    </w:p>
    <w:p>
      <w:pPr>
        <w:ind w:left="480" w:leftChars="200"/>
        <w:rPr>
          <w:color w:val="auto"/>
          <w:highlight w:val="none"/>
        </w:rPr>
      </w:pPr>
      <w:r>
        <w:rPr>
          <w:color w:val="auto"/>
          <w:highlight w:val="none"/>
        </w:rPr>
        <w:t>（十二）投标截止日投标资格情况存在下列情形之一的：</w:t>
      </w:r>
      <w:r>
        <w:rPr>
          <w:color w:val="auto"/>
          <w:highlight w:val="none"/>
        </w:rPr>
        <w:br w:type="textWrapping"/>
      </w:r>
      <w:r>
        <w:rPr>
          <w:color w:val="auto"/>
          <w:highlight w:val="none"/>
        </w:rPr>
        <w:t>（1）被人民法院列入失信被执行人名单且在被执行期内；</w:t>
      </w:r>
      <w:r>
        <w:rPr>
          <w:color w:val="auto"/>
          <w:highlight w:val="none"/>
        </w:rPr>
        <w:br w:type="textWrapping"/>
      </w:r>
      <w:r>
        <w:rPr>
          <w:color w:val="auto"/>
          <w:highlight w:val="none"/>
        </w:rPr>
        <w:t>（2）被列入《重庆市工程建设领域招标投标信用管理暂行办法》规定的重点关注名单且记分达到12分且在记分有效期内；</w:t>
      </w:r>
      <w:r>
        <w:rPr>
          <w:color w:val="auto"/>
          <w:highlight w:val="none"/>
        </w:rPr>
        <w:br w:type="textWrapping"/>
      </w:r>
      <w:r>
        <w:rPr>
          <w:color w:val="auto"/>
          <w:highlight w:val="none"/>
        </w:rPr>
        <w:t>（3）被列入《重庆市工程建设领域招标投标信用管理暂行办法》规定的黑名单且在有效期内；</w:t>
      </w:r>
      <w:r>
        <w:rPr>
          <w:color w:val="auto"/>
          <w:highlight w:val="none"/>
        </w:rPr>
        <w:br w:type="textWrapping"/>
      </w:r>
      <w:r>
        <w:rPr>
          <w:color w:val="auto"/>
          <w:highlight w:val="none"/>
        </w:rPr>
        <w:t>（4）被国家、重庆市（含市或任意区县）有关行政部门处以暂停投标资格行政处罚，且在处罚期限内；</w:t>
      </w:r>
      <w:r>
        <w:rPr>
          <w:color w:val="auto"/>
          <w:highlight w:val="none"/>
        </w:rPr>
        <w:br w:type="textWrapping"/>
      </w:r>
      <w:r>
        <w:rPr>
          <w:color w:val="auto"/>
          <w:highlight w:val="none"/>
        </w:rPr>
        <w:t>（5）被重庆市水行政主管部门暂停在渝承揽新业务且在暂停期内。</w:t>
      </w:r>
    </w:p>
    <w:p>
      <w:pPr>
        <w:ind w:firstLine="480" w:firstLineChars="200"/>
        <w:rPr>
          <w:color w:val="auto"/>
          <w:highlight w:val="none"/>
        </w:rPr>
      </w:pPr>
      <w:r>
        <w:rPr>
          <w:color w:val="auto"/>
          <w:highlight w:val="none"/>
        </w:rPr>
        <w:t>（十三）磋商文件中规定的其他无效标情形</w:t>
      </w:r>
      <w:r>
        <w:rPr>
          <w:rFonts w:hint="eastAsia" w:cs="宋体"/>
          <w:color w:val="auto"/>
          <w:highlight w:val="none"/>
        </w:rPr>
        <w:t>。</w:t>
      </w:r>
    </w:p>
    <w:p>
      <w:pPr>
        <w:pStyle w:val="4"/>
        <w:ind w:firstLine="480"/>
        <w:rPr>
          <w:color w:val="auto"/>
          <w:highlight w:val="none"/>
        </w:rPr>
      </w:pPr>
      <w:bookmarkStart w:id="133" w:name="_Toc36064047"/>
      <w:bookmarkStart w:id="134" w:name="_Toc32329135"/>
      <w:bookmarkStart w:id="135" w:name="_Toc36064011"/>
      <w:bookmarkStart w:id="136" w:name="_Toc36064083"/>
      <w:bookmarkStart w:id="137" w:name="_Toc32329181"/>
      <w:bookmarkStart w:id="138" w:name="_Toc32329223"/>
      <w:bookmarkStart w:id="139" w:name="_Toc32329082"/>
      <w:r>
        <w:rPr>
          <w:color w:val="auto"/>
          <w:highlight w:val="none"/>
        </w:rPr>
        <w:t>四、</w:t>
      </w:r>
      <w:bookmarkEnd w:id="123"/>
      <w:bookmarkEnd w:id="124"/>
      <w:r>
        <w:rPr>
          <w:color w:val="auto"/>
          <w:highlight w:val="none"/>
        </w:rPr>
        <w:t>采购终止</w:t>
      </w:r>
      <w:bookmarkEnd w:id="133"/>
      <w:bookmarkEnd w:id="134"/>
      <w:bookmarkEnd w:id="135"/>
      <w:bookmarkEnd w:id="136"/>
      <w:bookmarkEnd w:id="137"/>
      <w:bookmarkEnd w:id="138"/>
      <w:bookmarkEnd w:id="139"/>
    </w:p>
    <w:p>
      <w:pPr>
        <w:ind w:firstLine="480" w:firstLineChars="200"/>
        <w:rPr>
          <w:color w:val="auto"/>
          <w:highlight w:val="none"/>
        </w:rPr>
      </w:pPr>
      <w:r>
        <w:rPr>
          <w:color w:val="auto"/>
          <w:highlight w:val="none"/>
        </w:rPr>
        <w:t>出现下列情形之一的，采购人或者采购代理机构应当终止竞争性磋商采购活动，发布项目终止公告并说明原因，重新开展采购活动：</w:t>
      </w:r>
    </w:p>
    <w:p>
      <w:pPr>
        <w:ind w:firstLine="480" w:firstLineChars="200"/>
        <w:rPr>
          <w:color w:val="auto"/>
          <w:highlight w:val="none"/>
        </w:rPr>
      </w:pPr>
      <w:r>
        <w:rPr>
          <w:color w:val="auto"/>
          <w:highlight w:val="none"/>
        </w:rPr>
        <w:t>（一）因情况变化，不再符合规定的竞争性磋商采购方式适用情形的；</w:t>
      </w:r>
    </w:p>
    <w:p>
      <w:pPr>
        <w:ind w:firstLine="480" w:firstLineChars="200"/>
        <w:rPr>
          <w:color w:val="auto"/>
          <w:highlight w:val="none"/>
        </w:rPr>
      </w:pPr>
      <w:r>
        <w:rPr>
          <w:color w:val="auto"/>
          <w:highlight w:val="none"/>
        </w:rPr>
        <w:t>（二）出现影响采购公正的违法、违规行为的；</w:t>
      </w:r>
    </w:p>
    <w:p>
      <w:pPr>
        <w:ind w:firstLine="480" w:firstLineChars="200"/>
        <w:rPr>
          <w:color w:val="auto"/>
          <w:highlight w:val="none"/>
        </w:rPr>
      </w:pPr>
      <w:r>
        <w:rPr>
          <w:color w:val="auto"/>
          <w:highlight w:val="none"/>
        </w:rPr>
        <w:t>（三）在采购过程中符合要求的</w:t>
      </w:r>
      <w:r>
        <w:rPr>
          <w:rFonts w:hint="eastAsia"/>
          <w:color w:val="auto"/>
          <w:highlight w:val="none"/>
        </w:rPr>
        <w:t>供应商</w:t>
      </w:r>
      <w:r>
        <w:rPr>
          <w:color w:val="auto"/>
          <w:highlight w:val="none"/>
        </w:rPr>
        <w:t>或者报价未超过采购预算的</w:t>
      </w:r>
      <w:r>
        <w:rPr>
          <w:rFonts w:hint="eastAsia"/>
          <w:color w:val="auto"/>
          <w:highlight w:val="none"/>
        </w:rPr>
        <w:t>供应商</w:t>
      </w:r>
      <w:r>
        <w:rPr>
          <w:color w:val="auto"/>
          <w:highlight w:val="none"/>
        </w:rPr>
        <w:t>不足3家的。</w:t>
      </w:r>
    </w:p>
    <w:p>
      <w:pPr>
        <w:ind w:firstLine="480" w:firstLineChars="200"/>
        <w:rPr>
          <w:color w:val="auto"/>
          <w:highlight w:val="none"/>
        </w:rPr>
        <w:sectPr>
          <w:footerReference r:id="rId12" w:type="default"/>
          <w:footerReference r:id="rId13" w:type="even"/>
          <w:pgSz w:w="11907" w:h="16840"/>
          <w:pgMar w:top="1134" w:right="1191" w:bottom="1134" w:left="1304" w:header="964" w:footer="992" w:gutter="0"/>
          <w:pgNumType w:fmt="numberInDash"/>
          <w:cols w:space="720" w:num="1"/>
          <w:docGrid w:linePitch="380" w:charSpace="0"/>
        </w:sectPr>
      </w:pPr>
    </w:p>
    <w:p>
      <w:pPr>
        <w:pStyle w:val="3"/>
        <w:spacing w:line="240" w:lineRule="auto"/>
        <w:rPr>
          <w:color w:val="auto"/>
          <w:highlight w:val="none"/>
        </w:rPr>
      </w:pPr>
      <w:bookmarkStart w:id="140" w:name="_Toc32329182"/>
      <w:bookmarkStart w:id="141" w:name="_Toc36064012"/>
      <w:bookmarkStart w:id="142" w:name="_Toc36064048"/>
      <w:bookmarkStart w:id="143" w:name="_Toc32329224"/>
      <w:bookmarkStart w:id="144" w:name="_Toc484196065"/>
      <w:bookmarkStart w:id="145" w:name="_Toc36064084"/>
      <w:bookmarkStart w:id="146" w:name="_Toc32329136"/>
      <w:bookmarkStart w:id="147" w:name="_Toc32329083"/>
      <w:bookmarkStart w:id="148" w:name="_Toc12789059"/>
      <w:bookmarkStart w:id="149" w:name="_Toc11641055"/>
      <w:r>
        <w:rPr>
          <w:color w:val="auto"/>
          <w:highlight w:val="none"/>
        </w:rPr>
        <w:t xml:space="preserve">第五篇  </w:t>
      </w:r>
      <w:r>
        <w:rPr>
          <w:rFonts w:hint="eastAsia"/>
          <w:color w:val="auto"/>
          <w:highlight w:val="none"/>
        </w:rPr>
        <w:t>供应商</w:t>
      </w:r>
      <w:r>
        <w:rPr>
          <w:color w:val="auto"/>
          <w:highlight w:val="none"/>
        </w:rPr>
        <w:t>须知</w:t>
      </w:r>
      <w:bookmarkEnd w:id="140"/>
      <w:bookmarkEnd w:id="141"/>
      <w:bookmarkEnd w:id="142"/>
      <w:bookmarkEnd w:id="143"/>
      <w:bookmarkEnd w:id="144"/>
      <w:bookmarkEnd w:id="145"/>
      <w:bookmarkEnd w:id="146"/>
      <w:bookmarkEnd w:id="147"/>
    </w:p>
    <w:p>
      <w:pPr>
        <w:pStyle w:val="4"/>
        <w:ind w:firstLine="480"/>
        <w:rPr>
          <w:color w:val="auto"/>
          <w:highlight w:val="none"/>
        </w:rPr>
      </w:pPr>
      <w:bookmarkStart w:id="150" w:name="_Toc32329084"/>
      <w:bookmarkStart w:id="151" w:name="_Toc32329183"/>
      <w:bookmarkStart w:id="152" w:name="_Toc32329225"/>
      <w:bookmarkStart w:id="153" w:name="_Toc36064085"/>
      <w:bookmarkStart w:id="154" w:name="_Toc36064049"/>
      <w:bookmarkStart w:id="155" w:name="_Toc32329137"/>
      <w:bookmarkStart w:id="156" w:name="_Toc484196066"/>
      <w:bookmarkStart w:id="157" w:name="_Toc36064013"/>
      <w:r>
        <w:rPr>
          <w:color w:val="auto"/>
          <w:highlight w:val="none"/>
        </w:rPr>
        <w:t>一、磋商费用</w:t>
      </w:r>
      <w:bookmarkEnd w:id="150"/>
      <w:bookmarkEnd w:id="151"/>
      <w:bookmarkEnd w:id="152"/>
      <w:bookmarkEnd w:id="153"/>
      <w:bookmarkEnd w:id="154"/>
      <w:bookmarkEnd w:id="155"/>
      <w:bookmarkEnd w:id="156"/>
      <w:bookmarkEnd w:id="157"/>
    </w:p>
    <w:p>
      <w:pPr>
        <w:ind w:firstLine="480" w:firstLineChars="200"/>
        <w:rPr>
          <w:color w:val="auto"/>
          <w:highlight w:val="none"/>
        </w:rPr>
      </w:pPr>
      <w:r>
        <w:rPr>
          <w:color w:val="auto"/>
          <w:highlight w:val="none"/>
        </w:rPr>
        <w:t>无论磋商结果如何，</w:t>
      </w:r>
      <w:r>
        <w:rPr>
          <w:rFonts w:hint="eastAsia"/>
          <w:color w:val="auto"/>
          <w:highlight w:val="none"/>
        </w:rPr>
        <w:t>供应商</w:t>
      </w:r>
      <w:r>
        <w:rPr>
          <w:color w:val="auto"/>
          <w:highlight w:val="none"/>
        </w:rPr>
        <w:t>参与本项目磋商的所有费用均应由</w:t>
      </w:r>
      <w:r>
        <w:rPr>
          <w:rFonts w:hint="eastAsia"/>
          <w:color w:val="auto"/>
          <w:highlight w:val="none"/>
        </w:rPr>
        <w:t>供应商</w:t>
      </w:r>
      <w:r>
        <w:rPr>
          <w:color w:val="auto"/>
          <w:highlight w:val="none"/>
        </w:rPr>
        <w:t>自行承担。</w:t>
      </w:r>
    </w:p>
    <w:p>
      <w:pPr>
        <w:pStyle w:val="4"/>
        <w:ind w:firstLine="480"/>
        <w:rPr>
          <w:color w:val="auto"/>
          <w:highlight w:val="none"/>
        </w:rPr>
      </w:pPr>
      <w:bookmarkStart w:id="158" w:name="_Toc32329226"/>
      <w:bookmarkStart w:id="159" w:name="_Toc32329085"/>
      <w:bookmarkStart w:id="160" w:name="_Toc36064014"/>
      <w:bookmarkStart w:id="161" w:name="_Toc32329138"/>
      <w:bookmarkStart w:id="162" w:name="_Toc36064086"/>
      <w:bookmarkStart w:id="163" w:name="_Toc269310619"/>
      <w:bookmarkStart w:id="164" w:name="_Toc484196067"/>
      <w:bookmarkStart w:id="165" w:name="_Toc32329184"/>
      <w:bookmarkStart w:id="166" w:name="_Toc36064050"/>
      <w:r>
        <w:rPr>
          <w:color w:val="auto"/>
          <w:highlight w:val="none"/>
        </w:rPr>
        <w:t>二、</w:t>
      </w:r>
      <w:bookmarkEnd w:id="158"/>
      <w:bookmarkEnd w:id="159"/>
      <w:bookmarkEnd w:id="160"/>
      <w:bookmarkEnd w:id="161"/>
      <w:bookmarkEnd w:id="162"/>
      <w:bookmarkEnd w:id="163"/>
      <w:bookmarkEnd w:id="164"/>
      <w:bookmarkEnd w:id="165"/>
      <w:bookmarkEnd w:id="166"/>
      <w:r>
        <w:rPr>
          <w:rFonts w:hint="eastAsia"/>
          <w:color w:val="auto"/>
          <w:highlight w:val="none"/>
        </w:rPr>
        <w:t>供应商</w:t>
      </w:r>
    </w:p>
    <w:p>
      <w:pPr>
        <w:ind w:firstLine="480" w:firstLineChars="200"/>
        <w:rPr>
          <w:color w:val="auto"/>
          <w:highlight w:val="none"/>
        </w:rPr>
      </w:pPr>
      <w:r>
        <w:rPr>
          <w:color w:val="auto"/>
          <w:highlight w:val="none"/>
        </w:rPr>
        <w:t>1．合格</w:t>
      </w:r>
      <w:r>
        <w:rPr>
          <w:rFonts w:hint="eastAsia"/>
          <w:color w:val="auto"/>
          <w:highlight w:val="none"/>
        </w:rPr>
        <w:t>供应商</w:t>
      </w:r>
      <w:r>
        <w:rPr>
          <w:color w:val="auto"/>
          <w:highlight w:val="none"/>
        </w:rPr>
        <w:t>条件</w:t>
      </w:r>
    </w:p>
    <w:p>
      <w:pPr>
        <w:ind w:firstLine="480" w:firstLineChars="200"/>
        <w:rPr>
          <w:color w:val="auto"/>
          <w:highlight w:val="none"/>
        </w:rPr>
      </w:pPr>
      <w:r>
        <w:rPr>
          <w:color w:val="auto"/>
          <w:highlight w:val="none"/>
        </w:rPr>
        <w:t>合格</w:t>
      </w:r>
      <w:r>
        <w:rPr>
          <w:rFonts w:hint="eastAsia"/>
          <w:color w:val="auto"/>
          <w:highlight w:val="none"/>
        </w:rPr>
        <w:t>供应商</w:t>
      </w:r>
      <w:r>
        <w:rPr>
          <w:color w:val="auto"/>
          <w:highlight w:val="none"/>
        </w:rPr>
        <w:t>应完全符合磋商文件第一篇中规定的</w:t>
      </w:r>
      <w:r>
        <w:rPr>
          <w:rFonts w:hint="eastAsia"/>
          <w:color w:val="auto"/>
          <w:highlight w:val="none"/>
        </w:rPr>
        <w:t>供应商</w:t>
      </w:r>
      <w:r>
        <w:rPr>
          <w:color w:val="auto"/>
          <w:highlight w:val="none"/>
        </w:rPr>
        <w:t>资格条件，并对磋商文件作出实质性响应。</w:t>
      </w:r>
    </w:p>
    <w:p>
      <w:pPr>
        <w:ind w:firstLine="480" w:firstLineChars="200"/>
        <w:rPr>
          <w:color w:val="auto"/>
          <w:highlight w:val="none"/>
        </w:rPr>
      </w:pPr>
      <w:r>
        <w:rPr>
          <w:color w:val="auto"/>
          <w:highlight w:val="none"/>
        </w:rPr>
        <w:t>2．</w:t>
      </w:r>
      <w:r>
        <w:rPr>
          <w:rFonts w:hint="eastAsia"/>
          <w:color w:val="auto"/>
          <w:highlight w:val="none"/>
        </w:rPr>
        <w:t>供应商</w:t>
      </w:r>
      <w:r>
        <w:rPr>
          <w:color w:val="auto"/>
          <w:highlight w:val="none"/>
        </w:rPr>
        <w:t>的风险</w:t>
      </w:r>
    </w:p>
    <w:p>
      <w:pPr>
        <w:ind w:firstLine="480" w:firstLineChars="200"/>
        <w:rPr>
          <w:color w:val="auto"/>
          <w:highlight w:val="none"/>
        </w:rPr>
      </w:pPr>
      <w:r>
        <w:rPr>
          <w:rFonts w:hint="eastAsia"/>
          <w:color w:val="auto"/>
          <w:highlight w:val="none"/>
        </w:rPr>
        <w:t>供应商</w:t>
      </w:r>
      <w:r>
        <w:rPr>
          <w:color w:val="auto"/>
          <w:highlight w:val="none"/>
        </w:rPr>
        <w:t>没有按照磋商文件要求提供全部资料，或者</w:t>
      </w:r>
      <w:r>
        <w:rPr>
          <w:rFonts w:hint="eastAsia"/>
          <w:color w:val="auto"/>
          <w:highlight w:val="none"/>
        </w:rPr>
        <w:t>供应商</w:t>
      </w:r>
      <w:r>
        <w:rPr>
          <w:color w:val="auto"/>
          <w:highlight w:val="none"/>
        </w:rPr>
        <w:t>没有对磋商文件在各方面作出实质性响应，可能导致被拒绝参与磋商或评定为无效响应。</w:t>
      </w:r>
    </w:p>
    <w:p>
      <w:pPr>
        <w:pStyle w:val="4"/>
        <w:ind w:firstLine="480"/>
        <w:rPr>
          <w:color w:val="auto"/>
          <w:highlight w:val="none"/>
        </w:rPr>
      </w:pPr>
      <w:bookmarkStart w:id="167" w:name="_Toc36064051"/>
      <w:bookmarkStart w:id="168" w:name="_Toc32329227"/>
      <w:bookmarkStart w:id="169" w:name="_Toc32329139"/>
      <w:bookmarkStart w:id="170" w:name="_Toc32329086"/>
      <w:bookmarkStart w:id="171" w:name="_Toc269310620"/>
      <w:bookmarkStart w:id="172" w:name="_Toc484196068"/>
      <w:bookmarkStart w:id="173" w:name="_Toc32329185"/>
      <w:bookmarkStart w:id="174" w:name="_Toc36064015"/>
      <w:bookmarkStart w:id="175" w:name="_Toc36064087"/>
      <w:r>
        <w:rPr>
          <w:color w:val="auto"/>
          <w:highlight w:val="none"/>
        </w:rPr>
        <w:t>三、磋商文件</w:t>
      </w:r>
      <w:bookmarkEnd w:id="167"/>
      <w:bookmarkEnd w:id="168"/>
      <w:bookmarkEnd w:id="169"/>
      <w:bookmarkEnd w:id="170"/>
      <w:bookmarkEnd w:id="171"/>
      <w:bookmarkEnd w:id="172"/>
      <w:bookmarkEnd w:id="173"/>
      <w:bookmarkEnd w:id="174"/>
      <w:bookmarkEnd w:id="175"/>
    </w:p>
    <w:p>
      <w:pPr>
        <w:ind w:firstLine="480" w:firstLineChars="200"/>
        <w:rPr>
          <w:color w:val="auto"/>
          <w:highlight w:val="none"/>
        </w:rPr>
      </w:pPr>
      <w:bookmarkStart w:id="176" w:name="_Toc269310621"/>
      <w:r>
        <w:rPr>
          <w:color w:val="auto"/>
          <w:highlight w:val="none"/>
        </w:rPr>
        <w:t>1．磋商文件包括</w:t>
      </w:r>
      <w:r>
        <w:rPr>
          <w:rFonts w:hint="eastAsia"/>
          <w:color w:val="auto"/>
          <w:highlight w:val="none"/>
        </w:rPr>
        <w:t>供应商</w:t>
      </w:r>
      <w:r>
        <w:rPr>
          <w:color w:val="auto"/>
          <w:highlight w:val="none"/>
        </w:rPr>
        <w:t>资格条件、采购邀请、采购方式、采购预算、采购需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pPr>
        <w:ind w:firstLine="480" w:firstLineChars="200"/>
        <w:rPr>
          <w:color w:val="auto"/>
          <w:highlight w:val="none"/>
        </w:rPr>
      </w:pPr>
      <w:r>
        <w:rPr>
          <w:color w:val="auto"/>
          <w:highlight w:val="none"/>
        </w:rPr>
        <w:t>2．采购人或采购代理机构对磋商文件所作的一切有效的书面通知、修改及补充，都是磋商文件不可分割的部分。</w:t>
      </w:r>
    </w:p>
    <w:p>
      <w:pPr>
        <w:ind w:firstLine="480" w:firstLineChars="200"/>
        <w:rPr>
          <w:color w:val="auto"/>
          <w:highlight w:val="none"/>
        </w:rPr>
      </w:pPr>
      <w:r>
        <w:rPr>
          <w:color w:val="auto"/>
          <w:highlight w:val="none"/>
        </w:rPr>
        <w:t>3．采购人或采购代理机构对已发出的磋商文件需要进行澄清或修改的，应以书面形式通知所有磋商文件收受人或在指定媒体上发布公告。该澄清或者修改的内容为磋商文件的组成部分。</w:t>
      </w:r>
    </w:p>
    <w:p>
      <w:pPr>
        <w:ind w:firstLine="480" w:firstLineChars="200"/>
        <w:rPr>
          <w:color w:val="auto"/>
          <w:highlight w:val="none"/>
        </w:rPr>
      </w:pPr>
      <w:r>
        <w:rPr>
          <w:color w:val="auto"/>
          <w:highlight w:val="none"/>
        </w:rPr>
        <w:t>4．</w:t>
      </w:r>
      <w:r>
        <w:rPr>
          <w:rFonts w:hint="eastAsia"/>
          <w:color w:val="auto"/>
          <w:highlight w:val="none"/>
        </w:rPr>
        <w:t>供应商</w:t>
      </w:r>
      <w:r>
        <w:rPr>
          <w:color w:val="auto"/>
          <w:highlight w:val="none"/>
        </w:rPr>
        <w:t>对磋商文件有异议的，应在规定时间内提出，否则视同认可磋商文件所有要求。逾期提出异议的，采购代理机构可以不予受理。</w:t>
      </w:r>
    </w:p>
    <w:p>
      <w:pPr>
        <w:pStyle w:val="4"/>
        <w:ind w:firstLine="480"/>
        <w:rPr>
          <w:color w:val="auto"/>
          <w:highlight w:val="none"/>
        </w:rPr>
      </w:pPr>
      <w:bookmarkStart w:id="177" w:name="_Toc32329140"/>
      <w:bookmarkStart w:id="178" w:name="_Toc36064016"/>
      <w:bookmarkStart w:id="179" w:name="_Toc32329186"/>
      <w:bookmarkStart w:id="180" w:name="_Toc484196069"/>
      <w:bookmarkStart w:id="181" w:name="_Toc32329228"/>
      <w:bookmarkStart w:id="182" w:name="_Toc36064052"/>
      <w:bookmarkStart w:id="183" w:name="_Toc36064088"/>
      <w:bookmarkStart w:id="184" w:name="_Toc32329087"/>
      <w:r>
        <w:rPr>
          <w:color w:val="auto"/>
          <w:highlight w:val="none"/>
        </w:rPr>
        <w:t>四、磋商响应文件</w:t>
      </w:r>
      <w:bookmarkEnd w:id="176"/>
      <w:bookmarkEnd w:id="177"/>
      <w:bookmarkEnd w:id="178"/>
      <w:bookmarkEnd w:id="179"/>
      <w:bookmarkEnd w:id="180"/>
      <w:bookmarkEnd w:id="181"/>
      <w:bookmarkEnd w:id="182"/>
      <w:bookmarkEnd w:id="183"/>
      <w:bookmarkEnd w:id="184"/>
    </w:p>
    <w:p>
      <w:pPr>
        <w:ind w:firstLine="480" w:firstLineChars="200"/>
        <w:rPr>
          <w:color w:val="auto"/>
          <w:highlight w:val="none"/>
        </w:rPr>
      </w:pPr>
      <w:r>
        <w:rPr>
          <w:rFonts w:hint="eastAsia"/>
          <w:color w:val="auto"/>
          <w:highlight w:val="none"/>
        </w:rPr>
        <w:t>供应商</w:t>
      </w:r>
      <w:r>
        <w:rPr>
          <w:color w:val="auto"/>
          <w:highlight w:val="none"/>
        </w:rPr>
        <w:t>应当按照磋商文件的要求编制磋商响应文件，并对磋商文件提出的要求和条件作出实质性响应。</w:t>
      </w:r>
    </w:p>
    <w:p>
      <w:pPr>
        <w:ind w:firstLine="480" w:firstLineChars="200"/>
        <w:rPr>
          <w:color w:val="auto"/>
          <w:highlight w:val="none"/>
        </w:rPr>
      </w:pPr>
      <w:r>
        <w:rPr>
          <w:color w:val="auto"/>
          <w:highlight w:val="none"/>
        </w:rPr>
        <w:t>（一）磋商响应文件的组成、装订、制作及密封。</w:t>
      </w:r>
    </w:p>
    <w:p>
      <w:pPr>
        <w:ind w:firstLine="480" w:firstLineChars="200"/>
        <w:rPr>
          <w:color w:val="auto"/>
          <w:highlight w:val="none"/>
        </w:rPr>
      </w:pPr>
      <w:r>
        <w:rPr>
          <w:color w:val="auto"/>
          <w:highlight w:val="none"/>
        </w:rPr>
        <w:t>磋商响应文件由商务文件、经济文件、技术文件和</w:t>
      </w:r>
      <w:r>
        <w:rPr>
          <w:rFonts w:hint="eastAsia"/>
          <w:color w:val="auto"/>
          <w:highlight w:val="none"/>
        </w:rPr>
        <w:t>供应商</w:t>
      </w:r>
      <w:r>
        <w:rPr>
          <w:color w:val="auto"/>
          <w:highlight w:val="none"/>
        </w:rPr>
        <w:t>所作的一切有效补充、修改和承诺等文件组成。</w:t>
      </w:r>
    </w:p>
    <w:p>
      <w:pPr>
        <w:ind w:firstLine="480" w:firstLineChars="200"/>
        <w:rPr>
          <w:color w:val="auto"/>
          <w:highlight w:val="none"/>
        </w:rPr>
      </w:pPr>
      <w:r>
        <w:rPr>
          <w:color w:val="auto"/>
          <w:highlight w:val="none"/>
        </w:rPr>
        <w:t>本项目商务文件、经济文件、技术文件分别装订成册，封面按规定格式制作。</w:t>
      </w:r>
    </w:p>
    <w:p>
      <w:pPr>
        <w:ind w:firstLine="480" w:firstLineChars="200"/>
        <w:rPr>
          <w:color w:val="auto"/>
          <w:highlight w:val="none"/>
        </w:rPr>
      </w:pPr>
      <w:r>
        <w:rPr>
          <w:color w:val="auto"/>
          <w:highlight w:val="none"/>
        </w:rPr>
        <w:t>1．装订</w:t>
      </w:r>
    </w:p>
    <w:p>
      <w:pPr>
        <w:ind w:firstLine="480" w:firstLineChars="200"/>
        <w:rPr>
          <w:color w:val="auto"/>
          <w:highlight w:val="none"/>
        </w:rPr>
      </w:pPr>
      <w:r>
        <w:rPr>
          <w:color w:val="auto"/>
          <w:highlight w:val="none"/>
        </w:rPr>
        <w:t>（1）商务文件的装订和制作要求</w:t>
      </w:r>
    </w:p>
    <w:p>
      <w:pPr>
        <w:ind w:firstLine="480" w:firstLineChars="200"/>
        <w:rPr>
          <w:color w:val="auto"/>
          <w:highlight w:val="none"/>
        </w:rPr>
      </w:pPr>
      <w:r>
        <w:rPr>
          <w:color w:val="auto"/>
          <w:highlight w:val="none"/>
        </w:rPr>
        <w:t>分别装订成册，除封页格式外，其他内容的格式仅供参考。正本逐页加盖公章。</w:t>
      </w:r>
    </w:p>
    <w:p>
      <w:pPr>
        <w:ind w:firstLine="480" w:firstLineChars="200"/>
        <w:rPr>
          <w:color w:val="auto"/>
          <w:highlight w:val="none"/>
        </w:rPr>
      </w:pPr>
      <w:r>
        <w:rPr>
          <w:color w:val="auto"/>
          <w:highlight w:val="none"/>
        </w:rPr>
        <w:t>（2）经济文件的装订要求</w:t>
      </w:r>
    </w:p>
    <w:p>
      <w:pPr>
        <w:ind w:firstLine="480" w:firstLineChars="200"/>
        <w:rPr>
          <w:color w:val="auto"/>
          <w:highlight w:val="none"/>
        </w:rPr>
      </w:pPr>
      <w:r>
        <w:rPr>
          <w:color w:val="auto"/>
          <w:highlight w:val="none"/>
        </w:rPr>
        <w:t>分别装订成册，本项目经济文件应严格按照第六篇“</w:t>
      </w:r>
      <w:r>
        <w:rPr>
          <w:rFonts w:hint="eastAsia"/>
          <w:color w:val="auto"/>
          <w:highlight w:val="none"/>
        </w:rPr>
        <w:t>响应文件</w:t>
      </w:r>
      <w:r>
        <w:rPr>
          <w:color w:val="auto"/>
          <w:highlight w:val="none"/>
        </w:rPr>
        <w:t>格式”填写。正本逐页加盖公章。</w:t>
      </w:r>
    </w:p>
    <w:p>
      <w:pPr>
        <w:ind w:firstLine="480" w:firstLineChars="200"/>
        <w:rPr>
          <w:color w:val="auto"/>
          <w:highlight w:val="none"/>
        </w:rPr>
      </w:pPr>
      <w:r>
        <w:rPr>
          <w:color w:val="auto"/>
          <w:highlight w:val="none"/>
        </w:rPr>
        <w:t>（3）技术文件的装订要求</w:t>
      </w:r>
    </w:p>
    <w:p>
      <w:pPr>
        <w:ind w:firstLine="480" w:firstLineChars="200"/>
        <w:rPr>
          <w:color w:val="auto"/>
          <w:highlight w:val="none"/>
        </w:rPr>
      </w:pPr>
      <w:r>
        <w:rPr>
          <w:color w:val="auto"/>
          <w:highlight w:val="none"/>
        </w:rPr>
        <w:t>分别装订成册，除封页格式外，其他内容的格式仅供参考。正本逐页加盖公章。</w:t>
      </w:r>
    </w:p>
    <w:p>
      <w:pPr>
        <w:ind w:firstLine="480" w:firstLineChars="200"/>
        <w:rPr>
          <w:color w:val="auto"/>
          <w:highlight w:val="none"/>
        </w:rPr>
      </w:pPr>
      <w:r>
        <w:rPr>
          <w:color w:val="auto"/>
          <w:highlight w:val="none"/>
        </w:rPr>
        <w:t>2、密封</w:t>
      </w:r>
    </w:p>
    <w:p>
      <w:pPr>
        <w:ind w:firstLine="480" w:firstLineChars="200"/>
        <w:rPr>
          <w:color w:val="auto"/>
          <w:highlight w:val="none"/>
        </w:rPr>
      </w:pPr>
      <w:r>
        <w:rPr>
          <w:color w:val="auto"/>
          <w:highlight w:val="none"/>
        </w:rPr>
        <w:t>商务文件、经济文件、技术文件、电子文档密封。在密封袋上注明项目名称、</w:t>
      </w:r>
      <w:r>
        <w:rPr>
          <w:rFonts w:hint="eastAsia"/>
          <w:color w:val="auto"/>
          <w:highlight w:val="none"/>
        </w:rPr>
        <w:t>供应商</w:t>
      </w:r>
      <w:r>
        <w:rPr>
          <w:color w:val="auto"/>
          <w:highlight w:val="none"/>
        </w:rPr>
        <w:t>名称。密封袋封口处密封并加盖</w:t>
      </w:r>
      <w:r>
        <w:rPr>
          <w:rFonts w:hint="eastAsia"/>
          <w:color w:val="auto"/>
          <w:highlight w:val="none"/>
        </w:rPr>
        <w:t>供应商</w:t>
      </w:r>
      <w:r>
        <w:rPr>
          <w:color w:val="auto"/>
          <w:highlight w:val="none"/>
        </w:rPr>
        <w:t>鲜章或授权代表签字。</w:t>
      </w:r>
    </w:p>
    <w:p>
      <w:pPr>
        <w:ind w:firstLine="480" w:firstLineChars="200"/>
        <w:rPr>
          <w:color w:val="auto"/>
          <w:highlight w:val="none"/>
        </w:rPr>
      </w:pPr>
      <w:r>
        <w:rPr>
          <w:color w:val="auto"/>
          <w:highlight w:val="none"/>
        </w:rPr>
        <w:t>3、如果未按上述规定进行装订制作和密封的，</w:t>
      </w:r>
      <w:r>
        <w:rPr>
          <w:rFonts w:hint="eastAsia"/>
          <w:color w:val="auto"/>
          <w:highlight w:val="none"/>
        </w:rPr>
        <w:t>响应文件</w:t>
      </w:r>
      <w:r>
        <w:rPr>
          <w:color w:val="auto"/>
          <w:highlight w:val="none"/>
        </w:rPr>
        <w:t>无效。</w:t>
      </w:r>
    </w:p>
    <w:p>
      <w:pPr>
        <w:ind w:firstLine="480" w:firstLineChars="200"/>
        <w:rPr>
          <w:color w:val="auto"/>
          <w:highlight w:val="none"/>
        </w:rPr>
      </w:pPr>
      <w:r>
        <w:rPr>
          <w:color w:val="auto"/>
          <w:highlight w:val="none"/>
        </w:rPr>
        <w:t>（二）联合体参与磋商。</w:t>
      </w:r>
    </w:p>
    <w:p>
      <w:pPr>
        <w:ind w:firstLine="480" w:firstLineChars="200"/>
        <w:rPr>
          <w:color w:val="auto"/>
          <w:highlight w:val="none"/>
        </w:rPr>
      </w:pPr>
      <w:r>
        <w:rPr>
          <w:color w:val="auto"/>
          <w:highlight w:val="none"/>
        </w:rPr>
        <w:t>本项目不接受联合体参与磋商。</w:t>
      </w:r>
    </w:p>
    <w:p>
      <w:pPr>
        <w:ind w:firstLine="480" w:firstLineChars="200"/>
        <w:rPr>
          <w:color w:val="auto"/>
          <w:highlight w:val="none"/>
        </w:rPr>
      </w:pPr>
      <w:r>
        <w:rPr>
          <w:color w:val="auto"/>
          <w:highlight w:val="none"/>
        </w:rPr>
        <w:t>（三）磋商响应有效期。</w:t>
      </w:r>
    </w:p>
    <w:p>
      <w:pPr>
        <w:ind w:firstLine="480" w:firstLineChars="200"/>
        <w:rPr>
          <w:color w:val="auto"/>
          <w:highlight w:val="none"/>
        </w:rPr>
      </w:pPr>
      <w:r>
        <w:rPr>
          <w:color w:val="auto"/>
          <w:highlight w:val="none"/>
        </w:rPr>
        <w:t>响应有效期为磋商截止日期后90天内。</w:t>
      </w:r>
    </w:p>
    <w:p>
      <w:pPr>
        <w:ind w:firstLine="480" w:firstLineChars="200"/>
        <w:rPr>
          <w:rFonts w:hint="eastAsia" w:eastAsia="方正仿宋_GBK"/>
          <w:color w:val="auto"/>
          <w:highlight w:val="none"/>
          <w:lang w:eastAsia="zh-CN"/>
        </w:rPr>
      </w:pPr>
      <w:r>
        <w:rPr>
          <w:color w:val="auto"/>
          <w:highlight w:val="none"/>
        </w:rPr>
        <w:t>（四）</w:t>
      </w:r>
      <w:r>
        <w:rPr>
          <w:rFonts w:hint="eastAsia"/>
          <w:color w:val="auto"/>
          <w:highlight w:val="none"/>
          <w:lang w:eastAsia="zh-CN"/>
        </w:rPr>
        <w:t>投标保证金</w:t>
      </w:r>
    </w:p>
    <w:p>
      <w:pPr>
        <w:ind w:firstLine="480" w:firstLineChars="200"/>
        <w:rPr>
          <w:color w:val="auto"/>
          <w:highlight w:val="none"/>
        </w:rPr>
      </w:pPr>
      <w:r>
        <w:rPr>
          <w:color w:val="auto"/>
          <w:highlight w:val="none"/>
        </w:rPr>
        <w:t>1．</w:t>
      </w:r>
      <w:r>
        <w:rPr>
          <w:rFonts w:hint="eastAsia"/>
          <w:color w:val="auto"/>
          <w:highlight w:val="none"/>
        </w:rPr>
        <w:t>供应商</w:t>
      </w:r>
      <w:r>
        <w:rPr>
          <w:color w:val="auto"/>
          <w:highlight w:val="none"/>
        </w:rPr>
        <w:t>应按磋商文件第一篇规定交纳</w:t>
      </w:r>
      <w:r>
        <w:rPr>
          <w:rFonts w:hint="eastAsia"/>
          <w:color w:val="auto"/>
          <w:highlight w:val="none"/>
          <w:lang w:eastAsia="zh-CN"/>
        </w:rPr>
        <w:t>投标保证金</w:t>
      </w:r>
      <w:r>
        <w:rPr>
          <w:color w:val="auto"/>
          <w:highlight w:val="none"/>
        </w:rPr>
        <w:t>。</w:t>
      </w:r>
    </w:p>
    <w:p>
      <w:pPr>
        <w:ind w:firstLine="480" w:firstLineChars="200"/>
        <w:rPr>
          <w:color w:val="auto"/>
          <w:highlight w:val="none"/>
        </w:rPr>
      </w:pPr>
      <w:r>
        <w:rPr>
          <w:color w:val="auto"/>
          <w:highlight w:val="none"/>
        </w:rPr>
        <w:t>2．</w:t>
      </w:r>
      <w:r>
        <w:rPr>
          <w:rFonts w:hint="eastAsia"/>
          <w:color w:val="auto"/>
          <w:highlight w:val="none"/>
          <w:lang w:eastAsia="zh-CN"/>
        </w:rPr>
        <w:t>投标保证金</w:t>
      </w:r>
      <w:r>
        <w:rPr>
          <w:color w:val="auto"/>
          <w:highlight w:val="none"/>
        </w:rPr>
        <w:t>为参与磋商的有效约束条件。</w:t>
      </w:r>
    </w:p>
    <w:p>
      <w:pPr>
        <w:ind w:firstLine="480" w:firstLineChars="200"/>
        <w:rPr>
          <w:color w:val="auto"/>
          <w:highlight w:val="none"/>
        </w:rPr>
      </w:pPr>
      <w:r>
        <w:rPr>
          <w:color w:val="auto"/>
          <w:highlight w:val="none"/>
        </w:rPr>
        <w:t>3．</w:t>
      </w:r>
      <w:r>
        <w:rPr>
          <w:rFonts w:hint="eastAsia"/>
          <w:color w:val="auto"/>
          <w:highlight w:val="none"/>
          <w:lang w:eastAsia="zh-CN"/>
        </w:rPr>
        <w:t>投标保证金</w:t>
      </w:r>
      <w:r>
        <w:rPr>
          <w:color w:val="auto"/>
          <w:highlight w:val="none"/>
        </w:rPr>
        <w:t>的有效期限在磋商响应文件有效期过后90天内继续有效。</w:t>
      </w:r>
    </w:p>
    <w:p>
      <w:pPr>
        <w:ind w:firstLine="480" w:firstLineChars="200"/>
        <w:rPr>
          <w:color w:val="auto"/>
          <w:highlight w:val="none"/>
        </w:rPr>
      </w:pPr>
      <w:r>
        <w:rPr>
          <w:color w:val="auto"/>
          <w:highlight w:val="none"/>
        </w:rPr>
        <w:t>4．</w:t>
      </w:r>
      <w:r>
        <w:rPr>
          <w:rFonts w:hint="eastAsia"/>
          <w:color w:val="auto"/>
          <w:highlight w:val="none"/>
          <w:lang w:eastAsia="zh-CN"/>
        </w:rPr>
        <w:t>投标保证金</w:t>
      </w:r>
      <w:r>
        <w:rPr>
          <w:color w:val="auto"/>
          <w:highlight w:val="none"/>
        </w:rPr>
        <w:t>币种和磋商报价币种均为人民币。</w:t>
      </w:r>
    </w:p>
    <w:p>
      <w:pPr>
        <w:ind w:firstLine="480" w:firstLineChars="200"/>
        <w:rPr>
          <w:color w:val="auto"/>
          <w:highlight w:val="none"/>
        </w:rPr>
      </w:pPr>
      <w:r>
        <w:rPr>
          <w:color w:val="auto"/>
          <w:highlight w:val="none"/>
        </w:rPr>
        <w:t>5．</w:t>
      </w:r>
      <w:r>
        <w:rPr>
          <w:rFonts w:hint="eastAsia"/>
          <w:color w:val="auto"/>
          <w:highlight w:val="none"/>
        </w:rPr>
        <w:t>采购人最迟在书面合同签订后10日内向成交供应商和未成交的供应商无息退还</w:t>
      </w:r>
      <w:r>
        <w:rPr>
          <w:rFonts w:hint="eastAsia"/>
          <w:color w:val="auto"/>
          <w:highlight w:val="none"/>
          <w:lang w:eastAsia="zh-CN"/>
        </w:rPr>
        <w:t>投标保证金</w:t>
      </w:r>
      <w:r>
        <w:rPr>
          <w:color w:val="auto"/>
          <w:highlight w:val="none"/>
        </w:rPr>
        <w:t>。</w:t>
      </w:r>
      <w:r>
        <w:rPr>
          <w:rFonts w:hint="eastAsia"/>
          <w:color w:val="auto"/>
          <w:highlight w:val="none"/>
        </w:rPr>
        <w:t>供应商磋商</w:t>
      </w:r>
      <w:r>
        <w:rPr>
          <w:color w:val="auto"/>
          <w:highlight w:val="none"/>
        </w:rPr>
        <w:t>不退还现金，只能转帐退还</w:t>
      </w:r>
      <w:r>
        <w:rPr>
          <w:rFonts w:hint="eastAsia"/>
          <w:color w:val="auto"/>
          <w:highlight w:val="none"/>
        </w:rPr>
        <w:t>供应商</w:t>
      </w:r>
      <w:r>
        <w:rPr>
          <w:color w:val="auto"/>
          <w:highlight w:val="none"/>
        </w:rPr>
        <w:t>基本帐户，不能转委托退还其它单位或个人。</w:t>
      </w:r>
    </w:p>
    <w:p>
      <w:pPr>
        <w:ind w:firstLine="480" w:firstLineChars="200"/>
        <w:rPr>
          <w:color w:val="auto"/>
          <w:highlight w:val="none"/>
        </w:rPr>
      </w:pPr>
      <w:r>
        <w:rPr>
          <w:color w:val="auto"/>
          <w:highlight w:val="none"/>
        </w:rPr>
        <w:t>6．</w:t>
      </w:r>
      <w:r>
        <w:rPr>
          <w:rFonts w:hint="eastAsia"/>
          <w:color w:val="auto"/>
          <w:highlight w:val="none"/>
        </w:rPr>
        <w:t>供应商</w:t>
      </w:r>
      <w:r>
        <w:rPr>
          <w:color w:val="auto"/>
          <w:highlight w:val="none"/>
        </w:rPr>
        <w:t>有下列情形之一的，</w:t>
      </w:r>
      <w:r>
        <w:rPr>
          <w:rFonts w:hint="eastAsia"/>
          <w:color w:val="auto"/>
          <w:highlight w:val="none"/>
          <w:lang w:eastAsia="zh-CN"/>
        </w:rPr>
        <w:t>投标保证金</w:t>
      </w:r>
      <w:r>
        <w:rPr>
          <w:color w:val="auto"/>
          <w:highlight w:val="none"/>
        </w:rPr>
        <w:t>将不予退还：</w:t>
      </w:r>
    </w:p>
    <w:p>
      <w:pPr>
        <w:ind w:firstLine="480" w:firstLineChars="200"/>
        <w:rPr>
          <w:color w:val="auto"/>
          <w:highlight w:val="none"/>
        </w:rPr>
      </w:pPr>
      <w:r>
        <w:rPr>
          <w:color w:val="auto"/>
          <w:highlight w:val="none"/>
        </w:rPr>
        <w:t>（1）</w:t>
      </w:r>
      <w:r>
        <w:rPr>
          <w:rFonts w:hint="eastAsia"/>
          <w:color w:val="auto"/>
          <w:highlight w:val="none"/>
        </w:rPr>
        <w:t>供应商</w:t>
      </w:r>
      <w:r>
        <w:rPr>
          <w:color w:val="auto"/>
          <w:highlight w:val="none"/>
        </w:rPr>
        <w:t>在提交响应文件截止时间后撤回响应文件的；</w:t>
      </w:r>
    </w:p>
    <w:p>
      <w:pPr>
        <w:ind w:firstLine="480" w:firstLineChars="200"/>
        <w:rPr>
          <w:color w:val="auto"/>
          <w:highlight w:val="none"/>
        </w:rPr>
      </w:pPr>
      <w:r>
        <w:rPr>
          <w:color w:val="auto"/>
          <w:highlight w:val="none"/>
        </w:rPr>
        <w:t>（2）</w:t>
      </w:r>
      <w:r>
        <w:rPr>
          <w:rFonts w:hint="eastAsia"/>
          <w:color w:val="auto"/>
          <w:highlight w:val="none"/>
        </w:rPr>
        <w:t>供应商</w:t>
      </w:r>
      <w:r>
        <w:rPr>
          <w:color w:val="auto"/>
          <w:highlight w:val="none"/>
        </w:rPr>
        <w:t>在响应文件中提供虚假材料的；</w:t>
      </w:r>
    </w:p>
    <w:p>
      <w:pPr>
        <w:ind w:firstLine="480" w:firstLineChars="200"/>
        <w:rPr>
          <w:color w:val="auto"/>
          <w:highlight w:val="none"/>
        </w:rPr>
      </w:pPr>
      <w:r>
        <w:rPr>
          <w:color w:val="auto"/>
          <w:highlight w:val="none"/>
        </w:rPr>
        <w:t>（3）除因不可抗力或磋商文件认可的情形以外，成交供应商不与采购人签订合同的；</w:t>
      </w:r>
    </w:p>
    <w:p>
      <w:pPr>
        <w:ind w:firstLine="480" w:firstLineChars="200"/>
        <w:rPr>
          <w:color w:val="auto"/>
          <w:highlight w:val="none"/>
        </w:rPr>
      </w:pPr>
      <w:r>
        <w:rPr>
          <w:color w:val="auto"/>
          <w:highlight w:val="none"/>
        </w:rPr>
        <w:t>（4）</w:t>
      </w:r>
      <w:r>
        <w:rPr>
          <w:rFonts w:hint="eastAsia"/>
          <w:color w:val="auto"/>
          <w:highlight w:val="none"/>
        </w:rPr>
        <w:t>供应商</w:t>
      </w:r>
      <w:r>
        <w:rPr>
          <w:color w:val="auto"/>
          <w:highlight w:val="none"/>
        </w:rPr>
        <w:t>与采购人、其他</w:t>
      </w:r>
      <w:r>
        <w:rPr>
          <w:rFonts w:hint="eastAsia"/>
          <w:color w:val="auto"/>
          <w:highlight w:val="none"/>
        </w:rPr>
        <w:t>供应商</w:t>
      </w:r>
      <w:r>
        <w:rPr>
          <w:color w:val="auto"/>
          <w:highlight w:val="none"/>
        </w:rPr>
        <w:t>或者采购代理机构恶意串通的；</w:t>
      </w:r>
    </w:p>
    <w:p>
      <w:pPr>
        <w:ind w:firstLine="480" w:firstLineChars="200"/>
        <w:rPr>
          <w:color w:val="auto"/>
          <w:highlight w:val="none"/>
        </w:rPr>
      </w:pPr>
      <w:r>
        <w:rPr>
          <w:color w:val="auto"/>
          <w:highlight w:val="none"/>
        </w:rPr>
        <w:t>（5）磋商文件规定的其他情形。</w:t>
      </w:r>
    </w:p>
    <w:p>
      <w:pPr>
        <w:ind w:firstLine="480" w:firstLineChars="200"/>
        <w:rPr>
          <w:color w:val="auto"/>
          <w:highlight w:val="none"/>
        </w:rPr>
      </w:pPr>
      <w:r>
        <w:rPr>
          <w:color w:val="auto"/>
          <w:highlight w:val="none"/>
        </w:rPr>
        <w:t>（五）磋商响应文件的份数和签署</w:t>
      </w:r>
    </w:p>
    <w:p>
      <w:pPr>
        <w:ind w:firstLine="480" w:firstLineChars="200"/>
        <w:rPr>
          <w:color w:val="auto"/>
          <w:highlight w:val="none"/>
        </w:rPr>
      </w:pPr>
      <w:r>
        <w:rPr>
          <w:color w:val="auto"/>
          <w:highlight w:val="none"/>
        </w:rPr>
        <w:t>1．磋商响应文件一式四份，其中正本一份，副本二份，电子文档一份（电子文档内容应与</w:t>
      </w:r>
      <w:r>
        <w:rPr>
          <w:rFonts w:hint="eastAsia"/>
          <w:color w:val="auto"/>
          <w:highlight w:val="none"/>
        </w:rPr>
        <w:t>响应文件</w:t>
      </w:r>
      <w:r>
        <w:rPr>
          <w:color w:val="auto"/>
          <w:highlight w:val="none"/>
        </w:rPr>
        <w:t>正本一致），且每份</w:t>
      </w:r>
      <w:r>
        <w:rPr>
          <w:rFonts w:hint="eastAsia"/>
          <w:color w:val="auto"/>
          <w:highlight w:val="none"/>
        </w:rPr>
        <w:t>响应文件</w:t>
      </w:r>
      <w:r>
        <w:rPr>
          <w:color w:val="auto"/>
          <w:highlight w:val="none"/>
        </w:rPr>
        <w:t>须在封面清楚地标注正本、副本、电子文档字样。副本与正本不一致时，以正本为准，</w:t>
      </w:r>
      <w:r>
        <w:rPr>
          <w:rFonts w:hint="eastAsia"/>
          <w:color w:val="auto"/>
          <w:highlight w:val="none"/>
        </w:rPr>
        <w:t>响应文件</w:t>
      </w:r>
      <w:r>
        <w:rPr>
          <w:color w:val="auto"/>
          <w:highlight w:val="none"/>
        </w:rPr>
        <w:t>电子文档与纸质</w:t>
      </w:r>
      <w:r>
        <w:rPr>
          <w:rFonts w:hint="eastAsia"/>
          <w:color w:val="auto"/>
          <w:highlight w:val="none"/>
        </w:rPr>
        <w:t>响应文件</w:t>
      </w:r>
      <w:r>
        <w:rPr>
          <w:color w:val="auto"/>
          <w:highlight w:val="none"/>
        </w:rPr>
        <w:t>正本不一致时，以纸质</w:t>
      </w:r>
      <w:r>
        <w:rPr>
          <w:rFonts w:hint="eastAsia"/>
          <w:color w:val="auto"/>
          <w:highlight w:val="none"/>
        </w:rPr>
        <w:t>响应文件</w:t>
      </w:r>
      <w:r>
        <w:rPr>
          <w:color w:val="auto"/>
          <w:highlight w:val="none"/>
        </w:rPr>
        <w:t>正本为准。</w:t>
      </w:r>
    </w:p>
    <w:p>
      <w:pPr>
        <w:ind w:firstLine="480" w:firstLineChars="200"/>
        <w:rPr>
          <w:color w:val="auto"/>
          <w:highlight w:val="none"/>
        </w:rPr>
      </w:pPr>
      <w:r>
        <w:rPr>
          <w:color w:val="auto"/>
          <w:highlight w:val="none"/>
        </w:rPr>
        <w:t>2．磋商响应文件按磋商文件要求签名和加盖</w:t>
      </w:r>
      <w:r>
        <w:rPr>
          <w:rFonts w:hint="eastAsia"/>
          <w:color w:val="auto"/>
          <w:highlight w:val="none"/>
        </w:rPr>
        <w:t>供应商</w:t>
      </w:r>
      <w:r>
        <w:rPr>
          <w:color w:val="auto"/>
          <w:highlight w:val="none"/>
        </w:rPr>
        <w:t>公章。</w:t>
      </w:r>
    </w:p>
    <w:p>
      <w:pPr>
        <w:ind w:firstLine="480" w:firstLineChars="200"/>
        <w:rPr>
          <w:color w:val="auto"/>
          <w:highlight w:val="none"/>
        </w:rPr>
      </w:pPr>
      <w:r>
        <w:rPr>
          <w:color w:val="auto"/>
          <w:highlight w:val="none"/>
        </w:rPr>
        <w:t>3．若</w:t>
      </w:r>
      <w:r>
        <w:rPr>
          <w:rFonts w:hint="eastAsia"/>
          <w:color w:val="auto"/>
          <w:highlight w:val="none"/>
        </w:rPr>
        <w:t>供应商</w:t>
      </w:r>
      <w:r>
        <w:rPr>
          <w:color w:val="auto"/>
          <w:highlight w:val="none"/>
        </w:rPr>
        <w:t>对磋商响应文件的错处作必要修改，则应在修改处加盖</w:t>
      </w:r>
      <w:r>
        <w:rPr>
          <w:rFonts w:hint="eastAsia"/>
          <w:color w:val="auto"/>
          <w:highlight w:val="none"/>
        </w:rPr>
        <w:t>供应商</w:t>
      </w:r>
      <w:r>
        <w:rPr>
          <w:color w:val="auto"/>
          <w:highlight w:val="none"/>
        </w:rPr>
        <w:t>公章或由法人或法人授权代表签字确认。</w:t>
      </w:r>
    </w:p>
    <w:p>
      <w:pPr>
        <w:ind w:firstLine="480" w:firstLineChars="200"/>
        <w:rPr>
          <w:color w:val="auto"/>
          <w:highlight w:val="none"/>
        </w:rPr>
      </w:pPr>
      <w:r>
        <w:rPr>
          <w:color w:val="auto"/>
          <w:highlight w:val="none"/>
        </w:rPr>
        <w:t>4．电报、电话、传真形式的磋商响应文件概不接受。</w:t>
      </w:r>
    </w:p>
    <w:p>
      <w:pPr>
        <w:ind w:firstLine="480" w:firstLineChars="200"/>
        <w:rPr>
          <w:color w:val="auto"/>
          <w:highlight w:val="none"/>
        </w:rPr>
      </w:pPr>
      <w:r>
        <w:rPr>
          <w:color w:val="auto"/>
          <w:highlight w:val="none"/>
        </w:rPr>
        <w:t>5．除经济文件格式和封页格式外，本项目提供的其余“</w:t>
      </w:r>
      <w:r>
        <w:rPr>
          <w:rFonts w:hint="eastAsia"/>
          <w:color w:val="auto"/>
          <w:highlight w:val="none"/>
        </w:rPr>
        <w:t>响应文件</w:t>
      </w:r>
      <w:r>
        <w:rPr>
          <w:color w:val="auto"/>
          <w:highlight w:val="none"/>
        </w:rPr>
        <w:t>格式”仅供参考，</w:t>
      </w:r>
      <w:r>
        <w:rPr>
          <w:rFonts w:hint="eastAsia"/>
          <w:color w:val="auto"/>
          <w:highlight w:val="none"/>
        </w:rPr>
        <w:t>供应商</w:t>
      </w:r>
      <w:r>
        <w:rPr>
          <w:color w:val="auto"/>
          <w:highlight w:val="none"/>
        </w:rPr>
        <w:t>应根据实际情况制作</w:t>
      </w:r>
      <w:r>
        <w:rPr>
          <w:rFonts w:hint="eastAsia"/>
          <w:color w:val="auto"/>
          <w:highlight w:val="none"/>
        </w:rPr>
        <w:t>响应文件</w:t>
      </w:r>
      <w:r>
        <w:rPr>
          <w:color w:val="auto"/>
          <w:highlight w:val="none"/>
        </w:rPr>
        <w:t>。</w:t>
      </w:r>
    </w:p>
    <w:p>
      <w:pPr>
        <w:ind w:firstLine="480" w:firstLineChars="200"/>
        <w:rPr>
          <w:color w:val="auto"/>
          <w:highlight w:val="none"/>
        </w:rPr>
      </w:pPr>
      <w:r>
        <w:rPr>
          <w:color w:val="auto"/>
          <w:highlight w:val="none"/>
        </w:rPr>
        <w:t>（六）磋商报价。</w:t>
      </w:r>
    </w:p>
    <w:p>
      <w:pPr>
        <w:ind w:firstLine="480" w:firstLineChars="200"/>
        <w:rPr>
          <w:color w:val="auto"/>
          <w:highlight w:val="none"/>
        </w:rPr>
      </w:pPr>
      <w:r>
        <w:rPr>
          <w:color w:val="auto"/>
          <w:highlight w:val="none"/>
        </w:rPr>
        <w:t>1．</w:t>
      </w:r>
      <w:r>
        <w:rPr>
          <w:rFonts w:hint="eastAsia"/>
          <w:color w:val="auto"/>
          <w:highlight w:val="none"/>
        </w:rPr>
        <w:t>供应商</w:t>
      </w:r>
      <w:r>
        <w:rPr>
          <w:color w:val="auto"/>
          <w:highlight w:val="none"/>
        </w:rPr>
        <w:t>应严格按照“磋商响应文件格式”中“竞争性磋商报价函”的格式填写报价，没有分包号的不填分包号。</w:t>
      </w:r>
    </w:p>
    <w:p>
      <w:pPr>
        <w:ind w:firstLine="480" w:firstLineChars="200"/>
        <w:rPr>
          <w:color w:val="auto"/>
          <w:highlight w:val="none"/>
        </w:rPr>
      </w:pPr>
      <w:r>
        <w:rPr>
          <w:color w:val="auto"/>
          <w:highlight w:val="none"/>
        </w:rPr>
        <w:t>2．本项目只接受一个磋商报价，有选择的或有条件的报价将不予接受,在响应有效期内磋商价格固定不变。</w:t>
      </w:r>
    </w:p>
    <w:p>
      <w:pPr>
        <w:ind w:firstLine="480" w:firstLineChars="200"/>
        <w:rPr>
          <w:color w:val="auto"/>
          <w:highlight w:val="none"/>
        </w:rPr>
      </w:pPr>
      <w:r>
        <w:rPr>
          <w:color w:val="auto"/>
          <w:highlight w:val="none"/>
        </w:rPr>
        <w:t>（七）</w:t>
      </w:r>
      <w:bookmarkStart w:id="185" w:name="_Toc269310622"/>
      <w:r>
        <w:rPr>
          <w:color w:val="auto"/>
          <w:highlight w:val="none"/>
        </w:rPr>
        <w:t>修正错误</w:t>
      </w:r>
    </w:p>
    <w:p>
      <w:pPr>
        <w:ind w:firstLine="480" w:firstLineChars="200"/>
        <w:rPr>
          <w:color w:val="auto"/>
          <w:highlight w:val="none"/>
        </w:rPr>
      </w:pPr>
      <w:r>
        <w:rPr>
          <w:color w:val="auto"/>
          <w:highlight w:val="none"/>
        </w:rPr>
        <w:t>若</w:t>
      </w:r>
      <w:r>
        <w:rPr>
          <w:rFonts w:hint="eastAsia"/>
          <w:color w:val="auto"/>
          <w:highlight w:val="none"/>
        </w:rPr>
        <w:t>响应文件</w:t>
      </w:r>
      <w:r>
        <w:rPr>
          <w:color w:val="auto"/>
          <w:highlight w:val="none"/>
        </w:rPr>
        <w:t>出现计算或表达上的错误，修正错误的原则如下：</w:t>
      </w:r>
    </w:p>
    <w:p>
      <w:pPr>
        <w:ind w:firstLine="480" w:firstLineChars="200"/>
        <w:rPr>
          <w:color w:val="auto"/>
          <w:highlight w:val="none"/>
        </w:rPr>
      </w:pPr>
      <w:r>
        <w:rPr>
          <w:color w:val="auto"/>
          <w:highlight w:val="none"/>
        </w:rPr>
        <w:t>1.开标一览表总价与报价明细表汇总数不一致的，以开标一览表为准；</w:t>
      </w:r>
    </w:p>
    <w:p>
      <w:pPr>
        <w:ind w:firstLine="480" w:firstLineChars="200"/>
        <w:rPr>
          <w:color w:val="auto"/>
          <w:highlight w:val="none"/>
        </w:rPr>
      </w:pPr>
      <w:r>
        <w:rPr>
          <w:color w:val="auto"/>
          <w:highlight w:val="none"/>
        </w:rPr>
        <w:t>2.</w:t>
      </w:r>
      <w:r>
        <w:rPr>
          <w:rFonts w:hint="eastAsia"/>
          <w:color w:val="auto"/>
          <w:highlight w:val="none"/>
        </w:rPr>
        <w:t>响应文件</w:t>
      </w:r>
      <w:r>
        <w:rPr>
          <w:color w:val="auto"/>
          <w:highlight w:val="none"/>
        </w:rPr>
        <w:t>的大写金额和小写金额不一致的，以大写金额为准；</w:t>
      </w:r>
    </w:p>
    <w:p>
      <w:pPr>
        <w:ind w:firstLine="480" w:firstLineChars="200"/>
        <w:rPr>
          <w:color w:val="auto"/>
          <w:highlight w:val="none"/>
        </w:rPr>
      </w:pPr>
      <w:r>
        <w:rPr>
          <w:color w:val="auto"/>
          <w:highlight w:val="none"/>
        </w:rPr>
        <w:t>3.总价金额与按单价汇总金额不一致的，以单价金额计算结果为准；</w:t>
      </w:r>
    </w:p>
    <w:p>
      <w:pPr>
        <w:ind w:firstLine="480" w:firstLineChars="200"/>
        <w:rPr>
          <w:color w:val="auto"/>
          <w:highlight w:val="none"/>
        </w:rPr>
      </w:pPr>
      <w:r>
        <w:rPr>
          <w:color w:val="auto"/>
          <w:highlight w:val="none"/>
        </w:rPr>
        <w:t>4.单价金额小数点有明显错位的，应以总价为准，并修正单价；</w:t>
      </w:r>
    </w:p>
    <w:p>
      <w:pPr>
        <w:ind w:firstLine="480" w:firstLineChars="200"/>
        <w:rPr>
          <w:color w:val="auto"/>
          <w:highlight w:val="none"/>
        </w:rPr>
      </w:pPr>
      <w:r>
        <w:rPr>
          <w:color w:val="auto"/>
          <w:highlight w:val="none"/>
        </w:rPr>
        <w:t>5.对不同文字文本</w:t>
      </w:r>
      <w:r>
        <w:rPr>
          <w:rFonts w:hint="eastAsia"/>
          <w:color w:val="auto"/>
          <w:highlight w:val="none"/>
        </w:rPr>
        <w:t>响应文件</w:t>
      </w:r>
      <w:r>
        <w:rPr>
          <w:color w:val="auto"/>
          <w:highlight w:val="none"/>
        </w:rPr>
        <w:t>的解释发生异议的，以中文文本为准。</w:t>
      </w:r>
    </w:p>
    <w:p>
      <w:pPr>
        <w:ind w:firstLine="480" w:firstLineChars="200"/>
        <w:rPr>
          <w:color w:val="auto"/>
          <w:highlight w:val="none"/>
        </w:rPr>
      </w:pPr>
      <w:r>
        <w:rPr>
          <w:color w:val="auto"/>
          <w:highlight w:val="none"/>
        </w:rPr>
        <w:t>评标委员会按上述修正错误的原则及方法调整或修正</w:t>
      </w:r>
      <w:r>
        <w:rPr>
          <w:rFonts w:hint="eastAsia"/>
          <w:color w:val="auto"/>
          <w:highlight w:val="none"/>
        </w:rPr>
        <w:t>供应商</w:t>
      </w:r>
      <w:r>
        <w:rPr>
          <w:color w:val="auto"/>
          <w:highlight w:val="none"/>
        </w:rPr>
        <w:t>报价，</w:t>
      </w:r>
      <w:r>
        <w:rPr>
          <w:rFonts w:hint="eastAsia"/>
          <w:color w:val="auto"/>
          <w:highlight w:val="none"/>
        </w:rPr>
        <w:t>供应商</w:t>
      </w:r>
      <w:r>
        <w:rPr>
          <w:color w:val="auto"/>
          <w:highlight w:val="none"/>
        </w:rPr>
        <w:t>同意并签字确认后，调整后的报价对</w:t>
      </w:r>
      <w:r>
        <w:rPr>
          <w:rFonts w:hint="eastAsia"/>
          <w:color w:val="auto"/>
          <w:highlight w:val="none"/>
        </w:rPr>
        <w:t>供应商</w:t>
      </w:r>
      <w:r>
        <w:rPr>
          <w:color w:val="auto"/>
          <w:highlight w:val="none"/>
        </w:rPr>
        <w:t>具有约束作用。如果</w:t>
      </w:r>
      <w:r>
        <w:rPr>
          <w:rFonts w:hint="eastAsia"/>
          <w:color w:val="auto"/>
          <w:highlight w:val="none"/>
        </w:rPr>
        <w:t>供应商</w:t>
      </w:r>
      <w:r>
        <w:rPr>
          <w:color w:val="auto"/>
          <w:highlight w:val="none"/>
        </w:rPr>
        <w:t>不接受修正后的报价，</w:t>
      </w:r>
      <w:r>
        <w:rPr>
          <w:rFonts w:hint="eastAsia"/>
          <w:color w:val="auto"/>
          <w:highlight w:val="none"/>
        </w:rPr>
        <w:t>将失去成为成交供应商的资格</w:t>
      </w:r>
      <w:r>
        <w:rPr>
          <w:color w:val="auto"/>
          <w:highlight w:val="none"/>
        </w:rPr>
        <w:t xml:space="preserve">。  </w:t>
      </w:r>
    </w:p>
    <w:bookmarkEnd w:id="185"/>
    <w:p>
      <w:pPr>
        <w:pStyle w:val="4"/>
        <w:ind w:firstLine="480"/>
        <w:rPr>
          <w:color w:val="auto"/>
          <w:highlight w:val="none"/>
        </w:rPr>
      </w:pPr>
      <w:bookmarkStart w:id="186" w:name="_Toc32329141"/>
      <w:bookmarkStart w:id="187" w:name="_Toc32329229"/>
      <w:bookmarkStart w:id="188" w:name="_Toc32329088"/>
      <w:bookmarkStart w:id="189" w:name="_Toc36064089"/>
      <w:bookmarkStart w:id="190" w:name="_Toc36064053"/>
      <w:bookmarkStart w:id="191" w:name="_Toc36064017"/>
      <w:bookmarkStart w:id="192" w:name="_Toc32329187"/>
      <w:bookmarkStart w:id="193" w:name="_Toc484196070"/>
      <w:r>
        <w:rPr>
          <w:color w:val="auto"/>
          <w:highlight w:val="none"/>
        </w:rPr>
        <w:t>五、磋商</w:t>
      </w:r>
      <w:bookmarkEnd w:id="186"/>
      <w:bookmarkEnd w:id="187"/>
      <w:bookmarkEnd w:id="188"/>
      <w:bookmarkEnd w:id="189"/>
      <w:bookmarkEnd w:id="190"/>
      <w:bookmarkEnd w:id="191"/>
      <w:bookmarkEnd w:id="192"/>
      <w:bookmarkEnd w:id="193"/>
    </w:p>
    <w:p>
      <w:pPr>
        <w:ind w:firstLine="480" w:firstLineChars="200"/>
        <w:rPr>
          <w:color w:val="auto"/>
          <w:highlight w:val="none"/>
        </w:rPr>
      </w:pPr>
      <w:r>
        <w:rPr>
          <w:color w:val="auto"/>
          <w:highlight w:val="none"/>
        </w:rPr>
        <w:t>1．磋商应当在磋商文件中“磋商邀请书”确定的时间和地点公开进行。</w:t>
      </w:r>
    </w:p>
    <w:p>
      <w:pPr>
        <w:ind w:firstLine="480" w:firstLineChars="200"/>
        <w:rPr>
          <w:color w:val="auto"/>
          <w:highlight w:val="none"/>
        </w:rPr>
      </w:pPr>
      <w:r>
        <w:rPr>
          <w:color w:val="auto"/>
          <w:highlight w:val="none"/>
        </w:rPr>
        <w:t>2．</w:t>
      </w:r>
      <w:r>
        <w:rPr>
          <w:rFonts w:hint="eastAsia"/>
          <w:color w:val="auto"/>
          <w:highlight w:val="none"/>
        </w:rPr>
        <w:t>采购人</w:t>
      </w:r>
      <w:r>
        <w:rPr>
          <w:color w:val="auto"/>
          <w:highlight w:val="none"/>
        </w:rPr>
        <w:t>可以视采购具体情况，延长</w:t>
      </w:r>
      <w:r>
        <w:rPr>
          <w:rFonts w:hint="eastAsia"/>
          <w:color w:val="auto"/>
          <w:highlight w:val="none"/>
        </w:rPr>
        <w:t>磋商</w:t>
      </w:r>
      <w:r>
        <w:rPr>
          <w:color w:val="auto"/>
          <w:highlight w:val="none"/>
        </w:rPr>
        <w:t>截止时间和</w:t>
      </w:r>
      <w:r>
        <w:rPr>
          <w:rFonts w:hint="eastAsia"/>
          <w:color w:val="auto"/>
          <w:highlight w:val="none"/>
        </w:rPr>
        <w:t>磋商开始</w:t>
      </w:r>
      <w:r>
        <w:rPr>
          <w:color w:val="auto"/>
          <w:highlight w:val="none"/>
        </w:rPr>
        <w:t>时间，但至少应当在磋商文件要求提交</w:t>
      </w:r>
      <w:r>
        <w:rPr>
          <w:rFonts w:hint="eastAsia"/>
          <w:color w:val="auto"/>
          <w:highlight w:val="none"/>
        </w:rPr>
        <w:t>响应文件</w:t>
      </w:r>
      <w:r>
        <w:rPr>
          <w:color w:val="auto"/>
          <w:highlight w:val="none"/>
        </w:rPr>
        <w:t>的截止时间</w:t>
      </w:r>
      <w:r>
        <w:rPr>
          <w:rFonts w:hint="eastAsia"/>
          <w:color w:val="auto"/>
          <w:highlight w:val="none"/>
        </w:rPr>
        <w:t>1</w:t>
      </w:r>
      <w:r>
        <w:rPr>
          <w:color w:val="auto"/>
          <w:highlight w:val="none"/>
        </w:rPr>
        <w:t>日前进行公告，特殊情况除外。</w:t>
      </w:r>
    </w:p>
    <w:p>
      <w:pPr>
        <w:ind w:firstLine="480" w:firstLineChars="200"/>
        <w:rPr>
          <w:color w:val="auto"/>
          <w:highlight w:val="none"/>
        </w:rPr>
      </w:pPr>
      <w:r>
        <w:rPr>
          <w:color w:val="auto"/>
          <w:highlight w:val="none"/>
        </w:rPr>
        <w:t>3．磋商由</w:t>
      </w:r>
      <w:r>
        <w:rPr>
          <w:rFonts w:hint="eastAsia"/>
          <w:color w:val="auto"/>
          <w:highlight w:val="none"/>
        </w:rPr>
        <w:t>采购代理机构</w:t>
      </w:r>
      <w:r>
        <w:rPr>
          <w:color w:val="auto"/>
          <w:highlight w:val="none"/>
        </w:rPr>
        <w:t>主持，邀请采购人、</w:t>
      </w:r>
      <w:r>
        <w:rPr>
          <w:rFonts w:hint="eastAsia"/>
          <w:color w:val="auto"/>
          <w:highlight w:val="none"/>
        </w:rPr>
        <w:t>供应商</w:t>
      </w:r>
      <w:r>
        <w:rPr>
          <w:color w:val="auto"/>
          <w:highlight w:val="none"/>
        </w:rPr>
        <w:t>和有关监督部门代表参加，有关监督部门可视情况派员现场监督。</w:t>
      </w:r>
    </w:p>
    <w:p>
      <w:pPr>
        <w:ind w:firstLine="480" w:firstLineChars="200"/>
        <w:rPr>
          <w:color w:val="auto"/>
          <w:highlight w:val="none"/>
        </w:rPr>
      </w:pPr>
      <w:r>
        <w:rPr>
          <w:color w:val="auto"/>
          <w:highlight w:val="none"/>
        </w:rPr>
        <w:t>4．</w:t>
      </w:r>
      <w:r>
        <w:rPr>
          <w:rFonts w:hint="eastAsia"/>
          <w:color w:val="auto"/>
          <w:highlight w:val="none"/>
        </w:rPr>
        <w:t>供应商</w:t>
      </w:r>
      <w:r>
        <w:rPr>
          <w:color w:val="auto"/>
          <w:highlight w:val="none"/>
        </w:rPr>
        <w:t>参与人员</w:t>
      </w:r>
    </w:p>
    <w:p>
      <w:pPr>
        <w:ind w:firstLine="480" w:firstLineChars="200"/>
        <w:rPr>
          <w:color w:val="auto"/>
          <w:highlight w:val="none"/>
        </w:rPr>
      </w:pPr>
      <w:r>
        <w:rPr>
          <w:color w:val="auto"/>
          <w:highlight w:val="none"/>
        </w:rPr>
        <w:t>各个</w:t>
      </w:r>
      <w:r>
        <w:rPr>
          <w:rFonts w:hint="eastAsia"/>
          <w:color w:val="auto"/>
          <w:highlight w:val="none"/>
        </w:rPr>
        <w:t>供应商</w:t>
      </w:r>
      <w:r>
        <w:rPr>
          <w:color w:val="auto"/>
          <w:highlight w:val="none"/>
        </w:rPr>
        <w:t>应当派1-2名代表参与磋商，至少1人应为法定代表人或具有法定代表人授权委托书的授权代表。</w:t>
      </w:r>
    </w:p>
    <w:p>
      <w:pPr>
        <w:ind w:firstLine="480" w:firstLineChars="200"/>
        <w:rPr>
          <w:color w:val="auto"/>
          <w:highlight w:val="none"/>
        </w:rPr>
      </w:pPr>
      <w:r>
        <w:rPr>
          <w:color w:val="auto"/>
          <w:highlight w:val="none"/>
        </w:rPr>
        <w:t>5．磋商过程由</w:t>
      </w:r>
      <w:r>
        <w:rPr>
          <w:rFonts w:hint="eastAsia"/>
          <w:color w:val="auto"/>
          <w:highlight w:val="none"/>
        </w:rPr>
        <w:t>采购代理机构</w:t>
      </w:r>
      <w:r>
        <w:rPr>
          <w:color w:val="auto"/>
          <w:highlight w:val="none"/>
        </w:rPr>
        <w:t>指定专人负责记录，并存档备查。</w:t>
      </w:r>
    </w:p>
    <w:p>
      <w:pPr>
        <w:pStyle w:val="4"/>
        <w:ind w:firstLine="480"/>
        <w:rPr>
          <w:color w:val="auto"/>
          <w:highlight w:val="none"/>
        </w:rPr>
      </w:pPr>
      <w:bookmarkStart w:id="194" w:name="_Toc269310623"/>
      <w:bookmarkStart w:id="195" w:name="_Toc484196071"/>
      <w:bookmarkStart w:id="196" w:name="_Toc32329089"/>
      <w:bookmarkStart w:id="197" w:name="_Toc36064018"/>
      <w:bookmarkStart w:id="198" w:name="_Toc36064054"/>
      <w:bookmarkStart w:id="199" w:name="_Toc32329230"/>
      <w:bookmarkStart w:id="200" w:name="_Toc32329188"/>
      <w:bookmarkStart w:id="201" w:name="_Toc36064090"/>
      <w:bookmarkStart w:id="202" w:name="_Toc32329142"/>
      <w:r>
        <w:rPr>
          <w:color w:val="auto"/>
          <w:highlight w:val="none"/>
        </w:rPr>
        <w:t>六、评</w:t>
      </w:r>
      <w:bookmarkEnd w:id="194"/>
      <w:bookmarkEnd w:id="195"/>
      <w:r>
        <w:rPr>
          <w:color w:val="auto"/>
          <w:highlight w:val="none"/>
        </w:rPr>
        <w:t>审</w:t>
      </w:r>
      <w:bookmarkEnd w:id="196"/>
      <w:bookmarkEnd w:id="197"/>
      <w:bookmarkEnd w:id="198"/>
      <w:bookmarkEnd w:id="199"/>
      <w:bookmarkEnd w:id="200"/>
      <w:bookmarkEnd w:id="201"/>
      <w:bookmarkEnd w:id="202"/>
    </w:p>
    <w:p>
      <w:pPr>
        <w:ind w:firstLine="480" w:firstLineChars="200"/>
        <w:rPr>
          <w:color w:val="auto"/>
          <w:highlight w:val="none"/>
        </w:rPr>
      </w:pPr>
      <w:r>
        <w:rPr>
          <w:color w:val="auto"/>
          <w:highlight w:val="none"/>
        </w:rPr>
        <w:t>见第四篇内容。</w:t>
      </w:r>
    </w:p>
    <w:p>
      <w:pPr>
        <w:pStyle w:val="4"/>
        <w:ind w:firstLine="480"/>
        <w:rPr>
          <w:color w:val="auto"/>
          <w:highlight w:val="none"/>
        </w:rPr>
      </w:pPr>
      <w:bookmarkStart w:id="203" w:name="_Toc269310624"/>
      <w:bookmarkStart w:id="204" w:name="_Toc484196072"/>
      <w:bookmarkStart w:id="205" w:name="_Toc36064091"/>
      <w:bookmarkStart w:id="206" w:name="_Toc36064019"/>
      <w:bookmarkStart w:id="207" w:name="_Toc32329189"/>
      <w:bookmarkStart w:id="208" w:name="_Toc32329231"/>
      <w:bookmarkStart w:id="209" w:name="_Toc36064055"/>
      <w:bookmarkStart w:id="210" w:name="_Toc32329143"/>
      <w:bookmarkStart w:id="211" w:name="_Toc32329090"/>
      <w:r>
        <w:rPr>
          <w:color w:val="auto"/>
          <w:highlight w:val="none"/>
        </w:rPr>
        <w:t>七、</w:t>
      </w:r>
      <w:bookmarkEnd w:id="203"/>
      <w:bookmarkEnd w:id="204"/>
      <w:r>
        <w:rPr>
          <w:color w:val="auto"/>
          <w:highlight w:val="none"/>
        </w:rPr>
        <w:t>确定成交供应商</w:t>
      </w:r>
      <w:bookmarkEnd w:id="205"/>
      <w:bookmarkEnd w:id="206"/>
      <w:bookmarkEnd w:id="207"/>
      <w:bookmarkEnd w:id="208"/>
      <w:bookmarkEnd w:id="209"/>
      <w:bookmarkEnd w:id="210"/>
      <w:bookmarkEnd w:id="211"/>
    </w:p>
    <w:p>
      <w:pPr>
        <w:ind w:firstLine="480" w:firstLineChars="200"/>
        <w:rPr>
          <w:color w:val="auto"/>
          <w:highlight w:val="none"/>
        </w:rPr>
      </w:pPr>
      <w:r>
        <w:rPr>
          <w:color w:val="auto"/>
          <w:highlight w:val="none"/>
        </w:rPr>
        <w:t>1．确定成交供应商原则</w:t>
      </w:r>
    </w:p>
    <w:p>
      <w:pPr>
        <w:ind w:firstLine="480" w:firstLineChars="200"/>
        <w:rPr>
          <w:color w:val="auto"/>
          <w:highlight w:val="none"/>
        </w:rPr>
      </w:pPr>
      <w:r>
        <w:rPr>
          <w:color w:val="auto"/>
          <w:highlight w:val="none"/>
        </w:rPr>
        <w:t>采购人</w:t>
      </w:r>
      <w:r>
        <w:rPr>
          <w:rFonts w:hint="eastAsia"/>
          <w:color w:val="auto"/>
          <w:highlight w:val="none"/>
        </w:rPr>
        <w:t>按磋商评审小组评审</w:t>
      </w:r>
      <w:r>
        <w:rPr>
          <w:color w:val="auto"/>
          <w:highlight w:val="none"/>
        </w:rPr>
        <w:t>推荐的</w:t>
      </w:r>
      <w:r>
        <w:rPr>
          <w:rFonts w:hint="eastAsia"/>
          <w:color w:val="auto"/>
          <w:highlight w:val="none"/>
        </w:rPr>
        <w:t>成交候选人</w:t>
      </w:r>
      <w:r>
        <w:rPr>
          <w:color w:val="auto"/>
          <w:highlight w:val="none"/>
        </w:rPr>
        <w:t>排名顺序确定</w:t>
      </w:r>
      <w:r>
        <w:rPr>
          <w:rFonts w:hint="eastAsia"/>
          <w:color w:val="auto"/>
          <w:highlight w:val="none"/>
        </w:rPr>
        <w:t>成交供应商</w:t>
      </w:r>
      <w:r>
        <w:rPr>
          <w:color w:val="auto"/>
          <w:highlight w:val="none"/>
        </w:rPr>
        <w:t>。</w:t>
      </w:r>
    </w:p>
    <w:p>
      <w:pPr>
        <w:ind w:firstLine="480" w:firstLineChars="200"/>
        <w:rPr>
          <w:color w:val="auto"/>
          <w:highlight w:val="none"/>
        </w:rPr>
      </w:pPr>
      <w:r>
        <w:rPr>
          <w:color w:val="auto"/>
          <w:highlight w:val="none"/>
        </w:rPr>
        <w:t>2．确定成交供应商程序</w:t>
      </w:r>
    </w:p>
    <w:p>
      <w:pPr>
        <w:ind w:firstLine="480" w:firstLineChars="200"/>
        <w:rPr>
          <w:color w:val="auto"/>
          <w:highlight w:val="none"/>
        </w:rPr>
      </w:pPr>
      <w:r>
        <w:rPr>
          <w:color w:val="auto"/>
          <w:highlight w:val="none"/>
        </w:rPr>
        <w:t>2.1</w:t>
      </w:r>
      <w:r>
        <w:rPr>
          <w:rFonts w:hint="eastAsia"/>
          <w:color w:val="auto"/>
          <w:highlight w:val="none"/>
        </w:rPr>
        <w:t>采购人</w:t>
      </w:r>
      <w:r>
        <w:rPr>
          <w:color w:val="auto"/>
          <w:highlight w:val="none"/>
        </w:rPr>
        <w:t>在评标结束后5个工作日内</w:t>
      </w:r>
      <w:r>
        <w:rPr>
          <w:rFonts w:hint="eastAsia"/>
          <w:color w:val="auto"/>
          <w:highlight w:val="none"/>
        </w:rPr>
        <w:t>，</w:t>
      </w:r>
      <w:r>
        <w:rPr>
          <w:color w:val="auto"/>
          <w:highlight w:val="none"/>
        </w:rPr>
        <w:t>将评标</w:t>
      </w:r>
      <w:r>
        <w:rPr>
          <w:rFonts w:hint="eastAsia"/>
          <w:color w:val="auto"/>
          <w:highlight w:val="none"/>
        </w:rPr>
        <w:t>结果</w:t>
      </w:r>
      <w:r>
        <w:rPr>
          <w:color w:val="auto"/>
          <w:highlight w:val="none"/>
        </w:rPr>
        <w:t>在</w:t>
      </w:r>
      <w:r>
        <w:rPr>
          <w:rFonts w:hint="eastAsia"/>
          <w:color w:val="auto"/>
          <w:highlight w:val="none"/>
        </w:rPr>
        <w:t>华信集团网站</w:t>
      </w:r>
      <w:r>
        <w:rPr>
          <w:rFonts w:hint="eastAsia"/>
          <w:color w:val="auto"/>
          <w:highlight w:val="none"/>
          <w:u w:val="single"/>
        </w:rPr>
        <w:t>http://www.cqjjhxjt.com/</w:t>
      </w:r>
      <w:r>
        <w:rPr>
          <w:color w:val="auto"/>
          <w:highlight w:val="none"/>
        </w:rPr>
        <w:t>上进行公告。</w:t>
      </w:r>
    </w:p>
    <w:p>
      <w:pPr>
        <w:ind w:firstLine="480" w:firstLineChars="200"/>
        <w:rPr>
          <w:color w:val="auto"/>
          <w:highlight w:val="none"/>
        </w:rPr>
      </w:pPr>
      <w:r>
        <w:rPr>
          <w:color w:val="auto"/>
          <w:highlight w:val="none"/>
        </w:rPr>
        <w:t>2.2</w:t>
      </w:r>
      <w:r>
        <w:rPr>
          <w:rFonts w:hint="eastAsia"/>
          <w:color w:val="auto"/>
          <w:highlight w:val="none"/>
        </w:rPr>
        <w:t>供应商</w:t>
      </w:r>
      <w:r>
        <w:rPr>
          <w:color w:val="auto"/>
          <w:highlight w:val="none"/>
        </w:rPr>
        <w:t>对评标结果无异议的，采购人应在收到评标报告后5个工作日内对评标结果进行确认。</w:t>
      </w:r>
    </w:p>
    <w:p>
      <w:pPr>
        <w:pStyle w:val="4"/>
        <w:ind w:firstLine="480"/>
        <w:rPr>
          <w:color w:val="auto"/>
          <w:highlight w:val="none"/>
        </w:rPr>
      </w:pPr>
      <w:bookmarkStart w:id="212" w:name="_Toc36064092"/>
      <w:bookmarkStart w:id="213" w:name="_Toc32329190"/>
      <w:bookmarkStart w:id="214" w:name="_Toc269310625"/>
      <w:bookmarkStart w:id="215" w:name="_Toc36064020"/>
      <w:bookmarkStart w:id="216" w:name="_Toc32329144"/>
      <w:bookmarkStart w:id="217" w:name="_Toc484196073"/>
      <w:bookmarkStart w:id="218" w:name="_Toc32329232"/>
      <w:bookmarkStart w:id="219" w:name="_Toc36064056"/>
      <w:bookmarkStart w:id="220" w:name="_Toc32329091"/>
      <w:r>
        <w:rPr>
          <w:color w:val="auto"/>
          <w:highlight w:val="none"/>
        </w:rPr>
        <w:t>八、</w:t>
      </w:r>
      <w:bookmarkEnd w:id="212"/>
      <w:bookmarkEnd w:id="213"/>
      <w:bookmarkEnd w:id="214"/>
      <w:bookmarkEnd w:id="215"/>
      <w:bookmarkEnd w:id="216"/>
      <w:bookmarkEnd w:id="217"/>
      <w:bookmarkEnd w:id="218"/>
      <w:bookmarkEnd w:id="219"/>
      <w:bookmarkEnd w:id="220"/>
      <w:r>
        <w:rPr>
          <w:rFonts w:hint="eastAsia"/>
          <w:color w:val="auto"/>
          <w:highlight w:val="none"/>
        </w:rPr>
        <w:t>成交通知书</w:t>
      </w:r>
    </w:p>
    <w:p>
      <w:pPr>
        <w:ind w:firstLine="480" w:firstLineChars="200"/>
        <w:rPr>
          <w:color w:val="auto"/>
          <w:highlight w:val="none"/>
        </w:rPr>
      </w:pPr>
      <w:r>
        <w:rPr>
          <w:color w:val="auto"/>
          <w:highlight w:val="none"/>
        </w:rPr>
        <w:t>（一）成交供应商确定后，采购代理机构将在</w:t>
      </w:r>
      <w:r>
        <w:rPr>
          <w:rFonts w:hint="eastAsia"/>
          <w:color w:val="auto"/>
          <w:highlight w:val="none"/>
        </w:rPr>
        <w:t>华信集团网站</w:t>
      </w:r>
      <w:r>
        <w:rPr>
          <w:rFonts w:hint="eastAsia"/>
          <w:color w:val="auto"/>
          <w:highlight w:val="none"/>
          <w:u w:val="single"/>
        </w:rPr>
        <w:t>http://www.cqjjhxjt.com/</w:t>
      </w:r>
      <w:r>
        <w:rPr>
          <w:color w:val="auto"/>
          <w:highlight w:val="none"/>
        </w:rPr>
        <w:t>上发布成交结果公告。</w:t>
      </w:r>
    </w:p>
    <w:p>
      <w:pPr>
        <w:ind w:firstLine="480" w:firstLineChars="200"/>
        <w:rPr>
          <w:color w:val="auto"/>
          <w:highlight w:val="none"/>
        </w:rPr>
      </w:pPr>
      <w:r>
        <w:rPr>
          <w:color w:val="auto"/>
          <w:highlight w:val="none"/>
        </w:rPr>
        <w:t>（二）结果公告发出同时，采购代理机构将以书面形式发出《</w:t>
      </w:r>
      <w:r>
        <w:rPr>
          <w:rFonts w:hint="eastAsia"/>
          <w:color w:val="auto"/>
          <w:highlight w:val="none"/>
        </w:rPr>
        <w:t>成交通知书</w:t>
      </w:r>
      <w:r>
        <w:rPr>
          <w:color w:val="auto"/>
          <w:highlight w:val="none"/>
        </w:rPr>
        <w:t>》。《</w:t>
      </w:r>
      <w:r>
        <w:rPr>
          <w:rFonts w:hint="eastAsia"/>
          <w:color w:val="auto"/>
          <w:highlight w:val="none"/>
        </w:rPr>
        <w:t>成交通知书</w:t>
      </w:r>
      <w:r>
        <w:rPr>
          <w:color w:val="auto"/>
          <w:highlight w:val="none"/>
        </w:rPr>
        <w:t>》一经发出即发生法律效力。</w:t>
      </w:r>
    </w:p>
    <w:p>
      <w:pPr>
        <w:ind w:firstLine="480" w:firstLineChars="200"/>
        <w:rPr>
          <w:color w:val="auto"/>
          <w:highlight w:val="none"/>
        </w:rPr>
      </w:pPr>
      <w:r>
        <w:rPr>
          <w:color w:val="auto"/>
          <w:highlight w:val="none"/>
        </w:rPr>
        <w:t>（三）《</w:t>
      </w:r>
      <w:r>
        <w:rPr>
          <w:rFonts w:hint="eastAsia"/>
          <w:color w:val="auto"/>
          <w:highlight w:val="none"/>
        </w:rPr>
        <w:t>成交通知书</w:t>
      </w:r>
      <w:r>
        <w:rPr>
          <w:color w:val="auto"/>
          <w:highlight w:val="none"/>
        </w:rPr>
        <w:t>》将作为签订合同的依据。</w:t>
      </w:r>
    </w:p>
    <w:p>
      <w:pPr>
        <w:pStyle w:val="4"/>
        <w:ind w:firstLine="480"/>
        <w:rPr>
          <w:rFonts w:ascii="方正仿宋_GBK"/>
          <w:color w:val="auto"/>
          <w:highlight w:val="none"/>
        </w:rPr>
      </w:pPr>
      <w:bookmarkStart w:id="221" w:name="_Toc36064093"/>
      <w:bookmarkStart w:id="222" w:name="_Toc32329092"/>
      <w:bookmarkStart w:id="223" w:name="_Toc32329233"/>
      <w:bookmarkStart w:id="224" w:name="_Toc493506311"/>
      <w:bookmarkStart w:id="225" w:name="_Toc36064021"/>
      <w:bookmarkStart w:id="226" w:name="_Toc36064057"/>
      <w:bookmarkStart w:id="227" w:name="_Toc32329145"/>
      <w:bookmarkStart w:id="228" w:name="_Toc32329191"/>
      <w:bookmarkStart w:id="229" w:name="_Toc32329146"/>
      <w:bookmarkStart w:id="230" w:name="_Toc32329234"/>
      <w:bookmarkStart w:id="231" w:name="_Toc32329093"/>
      <w:bookmarkStart w:id="232" w:name="_Toc36064094"/>
      <w:bookmarkStart w:id="233" w:name="_Toc32329192"/>
      <w:bookmarkStart w:id="234" w:name="_Toc36064022"/>
      <w:bookmarkStart w:id="235" w:name="_Toc36064058"/>
      <w:r>
        <w:rPr>
          <w:color w:val="auto"/>
          <w:highlight w:val="none"/>
        </w:rPr>
        <w:t>九、</w:t>
      </w:r>
      <w:bookmarkEnd w:id="221"/>
      <w:bookmarkEnd w:id="222"/>
      <w:bookmarkEnd w:id="223"/>
      <w:bookmarkEnd w:id="224"/>
      <w:bookmarkEnd w:id="225"/>
      <w:bookmarkEnd w:id="226"/>
      <w:bookmarkEnd w:id="227"/>
      <w:bookmarkEnd w:id="228"/>
      <w:r>
        <w:rPr>
          <w:rFonts w:hint="eastAsia" w:ascii="方正仿宋_GBK" w:cs="仿宋"/>
          <w:color w:val="auto"/>
          <w:highlight w:val="none"/>
        </w:rPr>
        <w:t>询问、质疑和诉讼</w:t>
      </w:r>
    </w:p>
    <w:p>
      <w:pPr>
        <w:snapToGrid w:val="0"/>
        <w:ind w:firstLine="480" w:firstLineChars="200"/>
        <w:rPr>
          <w:rFonts w:ascii="方正仿宋_GBK" w:cs="仿宋"/>
          <w:color w:val="auto"/>
          <w:highlight w:val="none"/>
        </w:rPr>
      </w:pPr>
      <w:r>
        <w:rPr>
          <w:rFonts w:hint="eastAsia" w:ascii="方正仿宋_GBK" w:cs="仿宋"/>
          <w:color w:val="auto"/>
          <w:highlight w:val="none"/>
        </w:rPr>
        <w:t>（一）询问</w:t>
      </w:r>
    </w:p>
    <w:p>
      <w:pPr>
        <w:snapToGrid w:val="0"/>
        <w:ind w:firstLine="480" w:firstLineChars="200"/>
        <w:rPr>
          <w:rFonts w:ascii="方正仿宋_GBK" w:cs="仿宋"/>
          <w:color w:val="auto"/>
          <w:highlight w:val="none"/>
        </w:rPr>
      </w:pPr>
      <w:r>
        <w:rPr>
          <w:rFonts w:hint="eastAsia" w:ascii="方正仿宋_GBK" w:cs="仿宋"/>
          <w:color w:val="auto"/>
          <w:highlight w:val="none"/>
        </w:rPr>
        <w:t>采购人或者采购代理机构应当在1个工作日内对投标人依法提出的询问作出答复。投标人询问可以是口头或书面形式。</w:t>
      </w:r>
    </w:p>
    <w:p>
      <w:pPr>
        <w:snapToGrid w:val="0"/>
        <w:ind w:firstLine="480" w:firstLineChars="200"/>
        <w:rPr>
          <w:rFonts w:ascii="方正仿宋_GBK" w:cs="仿宋"/>
          <w:color w:val="auto"/>
          <w:highlight w:val="none"/>
        </w:rPr>
      </w:pPr>
      <w:r>
        <w:rPr>
          <w:rFonts w:hint="eastAsia" w:ascii="方正仿宋_GBK" w:cs="仿宋"/>
          <w:color w:val="auto"/>
          <w:highlight w:val="none"/>
        </w:rPr>
        <w:t>（二）质疑</w:t>
      </w:r>
    </w:p>
    <w:p>
      <w:pPr>
        <w:snapToGrid w:val="0"/>
        <w:ind w:firstLine="480" w:firstLineChars="200"/>
        <w:rPr>
          <w:rFonts w:ascii="方正仿宋_GBK" w:cs="仿宋"/>
          <w:color w:val="auto"/>
          <w:highlight w:val="none"/>
        </w:rPr>
      </w:pPr>
      <w:r>
        <w:rPr>
          <w:rFonts w:hint="eastAsia" w:ascii="方正仿宋_GBK" w:cs="仿宋"/>
          <w:color w:val="auto"/>
          <w:highlight w:val="none"/>
        </w:rPr>
        <w:t>投标人认为采购文件、采购过程和中标结果使自己的权益受到伤害的，可向采购人或采购代理机构以书面形式提出质疑。</w:t>
      </w:r>
    </w:p>
    <w:p>
      <w:pPr>
        <w:snapToGrid w:val="0"/>
        <w:ind w:firstLine="480" w:firstLineChars="200"/>
        <w:rPr>
          <w:rFonts w:ascii="方正仿宋_GBK" w:cs="仿宋"/>
          <w:color w:val="auto"/>
          <w:highlight w:val="none"/>
        </w:rPr>
      </w:pPr>
      <w:r>
        <w:rPr>
          <w:rFonts w:hint="eastAsia" w:ascii="方正仿宋_GBK" w:cs="仿宋"/>
          <w:color w:val="auto"/>
          <w:highlight w:val="none"/>
        </w:rPr>
        <w:t xml:space="preserve">提出质疑的应当是参与所质疑项目采购活动的投标人。 </w:t>
      </w:r>
    </w:p>
    <w:p>
      <w:pPr>
        <w:snapToGrid w:val="0"/>
        <w:ind w:firstLine="480" w:firstLineChars="200"/>
        <w:rPr>
          <w:rFonts w:ascii="方正仿宋_GBK" w:cs="仿宋"/>
          <w:color w:val="auto"/>
          <w:highlight w:val="none"/>
        </w:rPr>
      </w:pPr>
      <w:r>
        <w:rPr>
          <w:rFonts w:hint="eastAsia" w:ascii="方正仿宋_GBK" w:cs="仿宋"/>
          <w:color w:val="auto"/>
          <w:highlight w:val="none"/>
        </w:rPr>
        <w:t>1.质疑时限、内容</w:t>
      </w:r>
    </w:p>
    <w:p>
      <w:pPr>
        <w:snapToGrid w:val="0"/>
        <w:ind w:firstLine="480" w:firstLineChars="200"/>
        <w:rPr>
          <w:rFonts w:ascii="方正仿宋_GBK" w:cs="仿宋"/>
          <w:color w:val="auto"/>
          <w:highlight w:val="none"/>
        </w:rPr>
      </w:pPr>
      <w:r>
        <w:rPr>
          <w:rFonts w:hint="eastAsia" w:ascii="方正仿宋_GBK" w:cs="仿宋"/>
          <w:color w:val="auto"/>
          <w:highlight w:val="none"/>
        </w:rPr>
        <w:t>1.1投标人对招标文件提出质疑的，应在依法获取招标文件之日或者招标文件公告期限届满之日起1个工作日内提出。</w:t>
      </w:r>
    </w:p>
    <w:p>
      <w:pPr>
        <w:snapToGrid w:val="0"/>
        <w:ind w:firstLine="480" w:firstLineChars="200"/>
        <w:rPr>
          <w:rFonts w:ascii="方正仿宋_GBK" w:cs="仿宋"/>
          <w:color w:val="auto"/>
          <w:highlight w:val="none"/>
        </w:rPr>
      </w:pPr>
      <w:r>
        <w:rPr>
          <w:rFonts w:hint="eastAsia" w:ascii="方正仿宋_GBK" w:cs="仿宋"/>
          <w:color w:val="auto"/>
          <w:highlight w:val="none"/>
        </w:rPr>
        <w:t>1.2 投标人对采购过程提出质疑的，应在各采购程序环节结束之日起1个工作日内提出。</w:t>
      </w:r>
    </w:p>
    <w:p>
      <w:pPr>
        <w:snapToGrid w:val="0"/>
        <w:ind w:firstLine="480" w:firstLineChars="200"/>
        <w:rPr>
          <w:rFonts w:ascii="方正仿宋_GBK" w:cs="仿宋"/>
          <w:color w:val="auto"/>
          <w:highlight w:val="none"/>
        </w:rPr>
      </w:pPr>
      <w:r>
        <w:rPr>
          <w:rFonts w:hint="eastAsia" w:ascii="方正仿宋_GBK" w:cs="仿宋"/>
          <w:color w:val="auto"/>
          <w:highlight w:val="none"/>
        </w:rPr>
        <w:t>1.3投标人对中标结果提出质疑的，应当在中标结果公告期限届满之日起1个工作日内提出。</w:t>
      </w:r>
    </w:p>
    <w:p>
      <w:pPr>
        <w:snapToGrid w:val="0"/>
        <w:ind w:firstLine="480" w:firstLineChars="200"/>
        <w:rPr>
          <w:rFonts w:ascii="方正仿宋_GBK" w:cs="仿宋"/>
          <w:color w:val="auto"/>
          <w:highlight w:val="none"/>
        </w:rPr>
      </w:pPr>
      <w:r>
        <w:rPr>
          <w:rFonts w:hint="eastAsia" w:ascii="方正仿宋_GBK" w:cs="仿宋"/>
          <w:color w:val="auto"/>
          <w:highlight w:val="none"/>
        </w:rPr>
        <w:t>1.4投标人提出质疑应当提交质疑函和必要的证明材料，质疑函应当包括下列内容：</w:t>
      </w:r>
    </w:p>
    <w:p>
      <w:pPr>
        <w:snapToGrid w:val="0"/>
        <w:ind w:firstLine="480" w:firstLineChars="200"/>
        <w:rPr>
          <w:rFonts w:ascii="方正仿宋_GBK" w:cs="仿宋"/>
          <w:color w:val="auto"/>
          <w:highlight w:val="none"/>
        </w:rPr>
      </w:pPr>
      <w:r>
        <w:rPr>
          <w:rFonts w:hint="eastAsia" w:ascii="方正仿宋_GBK" w:cs="仿宋"/>
          <w:color w:val="auto"/>
          <w:highlight w:val="none"/>
        </w:rPr>
        <w:t>1.4.1供应商的姓名或者名称、地址、邮编、联系人及联系电话；</w:t>
      </w:r>
    </w:p>
    <w:p>
      <w:pPr>
        <w:snapToGrid w:val="0"/>
        <w:ind w:firstLine="480" w:firstLineChars="200"/>
        <w:rPr>
          <w:rFonts w:ascii="方正仿宋_GBK" w:cs="仿宋"/>
          <w:color w:val="auto"/>
          <w:highlight w:val="none"/>
        </w:rPr>
      </w:pPr>
      <w:r>
        <w:rPr>
          <w:rFonts w:hint="eastAsia" w:ascii="方正仿宋_GBK" w:cs="仿宋"/>
          <w:color w:val="auto"/>
          <w:highlight w:val="none"/>
        </w:rPr>
        <w:t>1.4.2质疑项目的名称、项目编号以及采购执行编号；</w:t>
      </w:r>
    </w:p>
    <w:p>
      <w:pPr>
        <w:snapToGrid w:val="0"/>
        <w:ind w:firstLine="480" w:firstLineChars="200"/>
        <w:rPr>
          <w:rFonts w:ascii="方正仿宋_GBK" w:cs="仿宋"/>
          <w:color w:val="auto"/>
          <w:highlight w:val="none"/>
        </w:rPr>
      </w:pPr>
      <w:r>
        <w:rPr>
          <w:rFonts w:hint="eastAsia" w:ascii="方正仿宋_GBK" w:cs="仿宋"/>
          <w:color w:val="auto"/>
          <w:highlight w:val="none"/>
        </w:rPr>
        <w:t>1.4.3具体、明确的质疑事项和与质疑事项相关的请求；</w:t>
      </w:r>
    </w:p>
    <w:p>
      <w:pPr>
        <w:snapToGrid w:val="0"/>
        <w:ind w:firstLine="480" w:firstLineChars="200"/>
        <w:rPr>
          <w:rFonts w:ascii="方正仿宋_GBK" w:cs="仿宋"/>
          <w:color w:val="auto"/>
          <w:highlight w:val="none"/>
        </w:rPr>
      </w:pPr>
      <w:r>
        <w:rPr>
          <w:rFonts w:hint="eastAsia" w:ascii="方正仿宋_GBK" w:cs="仿宋"/>
          <w:color w:val="auto"/>
          <w:highlight w:val="none"/>
        </w:rPr>
        <w:t>1.4.4事实依据；</w:t>
      </w:r>
    </w:p>
    <w:p>
      <w:pPr>
        <w:snapToGrid w:val="0"/>
        <w:ind w:firstLine="480" w:firstLineChars="200"/>
        <w:rPr>
          <w:rFonts w:ascii="方正仿宋_GBK" w:cs="仿宋"/>
          <w:color w:val="auto"/>
          <w:highlight w:val="none"/>
        </w:rPr>
      </w:pPr>
      <w:r>
        <w:rPr>
          <w:rFonts w:hint="eastAsia" w:ascii="方正仿宋_GBK" w:cs="仿宋"/>
          <w:color w:val="auto"/>
          <w:highlight w:val="none"/>
        </w:rPr>
        <w:t>1.4.5必要的法律依据；</w:t>
      </w:r>
    </w:p>
    <w:p>
      <w:pPr>
        <w:snapToGrid w:val="0"/>
        <w:ind w:firstLine="480" w:firstLineChars="200"/>
        <w:rPr>
          <w:rFonts w:ascii="方正仿宋_GBK" w:cs="仿宋"/>
          <w:color w:val="auto"/>
          <w:highlight w:val="none"/>
        </w:rPr>
      </w:pPr>
      <w:r>
        <w:rPr>
          <w:rFonts w:hint="eastAsia" w:ascii="方正仿宋_GBK" w:cs="仿宋"/>
          <w:color w:val="auto"/>
          <w:highlight w:val="none"/>
        </w:rPr>
        <w:t>1.4.6提出质疑的日期；</w:t>
      </w:r>
    </w:p>
    <w:p>
      <w:pPr>
        <w:snapToGrid w:val="0"/>
        <w:ind w:firstLine="480" w:firstLineChars="200"/>
        <w:rPr>
          <w:rFonts w:ascii="方正仿宋_GBK" w:cs="仿宋"/>
          <w:color w:val="auto"/>
          <w:highlight w:val="none"/>
        </w:rPr>
      </w:pPr>
      <w:r>
        <w:rPr>
          <w:rFonts w:hint="eastAsia" w:ascii="方正仿宋_GBK" w:cs="仿宋"/>
          <w:color w:val="auto"/>
          <w:highlight w:val="none"/>
        </w:rPr>
        <w:t>1.4.7营业执照（或事业单位法人证书，或个体工商户营业执照或有效的自然人身份证明）复印件；</w:t>
      </w:r>
    </w:p>
    <w:p>
      <w:pPr>
        <w:snapToGrid w:val="0"/>
        <w:ind w:firstLine="480" w:firstLineChars="200"/>
        <w:rPr>
          <w:rFonts w:ascii="方正仿宋_GBK" w:cs="仿宋"/>
          <w:color w:val="auto"/>
          <w:highlight w:val="none"/>
        </w:rPr>
      </w:pPr>
      <w:r>
        <w:rPr>
          <w:rFonts w:hint="eastAsia" w:ascii="方正仿宋_GBK" w:cs="仿宋"/>
          <w:color w:val="auto"/>
          <w:highlight w:val="none"/>
        </w:rPr>
        <w:t>1.4.8法定代表人授权委托书原件、法定代表人身份证复印件和其授权代表的身份证复印件（供应商为自然人的提供自然人身份证复印件）；</w:t>
      </w:r>
    </w:p>
    <w:p>
      <w:pPr>
        <w:snapToGrid w:val="0"/>
        <w:ind w:firstLine="480" w:firstLineChars="200"/>
        <w:rPr>
          <w:rFonts w:ascii="方正仿宋_GBK" w:cs="仿宋"/>
          <w:color w:val="auto"/>
          <w:highlight w:val="none"/>
        </w:rPr>
      </w:pPr>
      <w:r>
        <w:rPr>
          <w:rFonts w:hint="eastAsia" w:ascii="方正仿宋_GBK" w:cs="仿宋"/>
          <w:color w:val="auto"/>
          <w:highlight w:val="none"/>
        </w:rPr>
        <w:t>1.5供应商为自然人的，质疑函应当由本人签字；供应商为法人或者其他组织的，质疑函应当由法定代表人、主要负责人，或者其授权代表签字或者盖章，并加盖公章。</w:t>
      </w:r>
    </w:p>
    <w:p>
      <w:pPr>
        <w:snapToGrid w:val="0"/>
        <w:ind w:firstLine="480" w:firstLineChars="200"/>
        <w:rPr>
          <w:rFonts w:ascii="方正仿宋_GBK" w:cs="仿宋"/>
          <w:color w:val="auto"/>
          <w:highlight w:val="none"/>
        </w:rPr>
      </w:pPr>
      <w:r>
        <w:rPr>
          <w:rFonts w:hint="eastAsia" w:ascii="方正仿宋_GBK" w:cs="仿宋"/>
          <w:color w:val="auto"/>
          <w:highlight w:val="none"/>
        </w:rPr>
        <w:t>2.质疑答复</w:t>
      </w:r>
    </w:p>
    <w:p>
      <w:pPr>
        <w:snapToGrid w:val="0"/>
        <w:ind w:firstLine="480" w:firstLineChars="200"/>
        <w:rPr>
          <w:rFonts w:ascii="方正仿宋_GBK" w:cs="仿宋"/>
          <w:color w:val="auto"/>
          <w:highlight w:val="none"/>
        </w:rPr>
      </w:pPr>
      <w:r>
        <w:rPr>
          <w:rFonts w:hint="eastAsia" w:ascii="方正仿宋_GBK" w:cs="仿宋"/>
          <w:color w:val="auto"/>
          <w:highlight w:val="none"/>
        </w:rPr>
        <w:t>采购人、采购代理机构应当在收到投标人的书面质疑后2个工作日内作出答复，并以书面形式通知质疑投标人和其他有关投标人。</w:t>
      </w:r>
    </w:p>
    <w:p>
      <w:pPr>
        <w:snapToGrid w:val="0"/>
        <w:ind w:firstLine="480" w:firstLineChars="200"/>
        <w:rPr>
          <w:rFonts w:ascii="方正仿宋_GBK" w:cs="仿宋"/>
          <w:color w:val="auto"/>
          <w:highlight w:val="none"/>
        </w:rPr>
      </w:pPr>
      <w:r>
        <w:rPr>
          <w:rFonts w:hint="eastAsia" w:ascii="方正仿宋_GBK" w:cs="仿宋"/>
          <w:color w:val="auto"/>
          <w:highlight w:val="none"/>
        </w:rPr>
        <w:t>3.质疑联系方式详见第一篇“联系方式”。</w:t>
      </w:r>
    </w:p>
    <w:p>
      <w:pPr>
        <w:snapToGrid w:val="0"/>
        <w:ind w:firstLine="480" w:firstLineChars="200"/>
        <w:rPr>
          <w:rFonts w:ascii="方正仿宋_GBK" w:cs="仿宋"/>
          <w:color w:val="auto"/>
          <w:highlight w:val="none"/>
        </w:rPr>
      </w:pPr>
      <w:r>
        <w:rPr>
          <w:rFonts w:hint="eastAsia" w:ascii="方正仿宋_GBK" w:cs="仿宋"/>
          <w:color w:val="auto"/>
          <w:highlight w:val="none"/>
        </w:rPr>
        <w:t>（三）诉讼</w:t>
      </w:r>
    </w:p>
    <w:p>
      <w:pPr>
        <w:snapToGrid w:val="0"/>
        <w:ind w:firstLine="480" w:firstLineChars="200"/>
        <w:rPr>
          <w:color w:val="auto"/>
          <w:highlight w:val="none"/>
        </w:rPr>
      </w:pPr>
      <w:r>
        <w:rPr>
          <w:rFonts w:hint="eastAsia" w:ascii="方正仿宋_GBK" w:cs="仿宋"/>
          <w:color w:val="auto"/>
          <w:highlight w:val="none"/>
        </w:rPr>
        <w:t>投标人对质疑答复不满意的，认为自己的权益受到损害的，可依法向人民法院提起诉讼。</w:t>
      </w:r>
    </w:p>
    <w:p>
      <w:pPr>
        <w:pStyle w:val="4"/>
        <w:ind w:firstLine="480"/>
        <w:rPr>
          <w:color w:val="auto"/>
          <w:highlight w:val="none"/>
        </w:rPr>
      </w:pPr>
      <w:r>
        <w:rPr>
          <w:color w:val="auto"/>
          <w:highlight w:val="none"/>
        </w:rPr>
        <w:t>十、</w:t>
      </w:r>
      <w:bookmarkEnd w:id="229"/>
      <w:bookmarkEnd w:id="230"/>
      <w:bookmarkEnd w:id="231"/>
      <w:bookmarkEnd w:id="232"/>
      <w:bookmarkEnd w:id="233"/>
      <w:bookmarkEnd w:id="234"/>
      <w:bookmarkEnd w:id="235"/>
      <w:bookmarkStart w:id="236" w:name="_Toc36064059"/>
      <w:bookmarkStart w:id="237" w:name="_Toc269310628"/>
      <w:bookmarkStart w:id="238" w:name="_Toc484196075"/>
      <w:bookmarkStart w:id="239" w:name="_Toc32329094"/>
      <w:bookmarkStart w:id="240" w:name="_Toc32329235"/>
      <w:bookmarkStart w:id="241" w:name="_Toc32329193"/>
      <w:bookmarkStart w:id="242" w:name="_Toc36064095"/>
      <w:bookmarkStart w:id="243" w:name="_Toc36064023"/>
      <w:bookmarkStart w:id="244" w:name="_Toc32329147"/>
      <w:r>
        <w:rPr>
          <w:color w:val="auto"/>
          <w:highlight w:val="none"/>
        </w:rPr>
        <w:t>签订合同</w:t>
      </w:r>
      <w:bookmarkEnd w:id="236"/>
      <w:bookmarkEnd w:id="237"/>
      <w:bookmarkEnd w:id="238"/>
      <w:bookmarkEnd w:id="239"/>
      <w:bookmarkEnd w:id="240"/>
      <w:bookmarkEnd w:id="241"/>
      <w:bookmarkEnd w:id="242"/>
      <w:bookmarkEnd w:id="243"/>
      <w:bookmarkEnd w:id="244"/>
    </w:p>
    <w:p>
      <w:pPr>
        <w:ind w:firstLine="480" w:firstLineChars="200"/>
        <w:rPr>
          <w:color w:val="auto"/>
          <w:highlight w:val="none"/>
        </w:rPr>
      </w:pPr>
      <w:r>
        <w:rPr>
          <w:color w:val="auto"/>
          <w:highlight w:val="none"/>
        </w:rPr>
        <w:t>1．采购人应当自</w:t>
      </w:r>
      <w:r>
        <w:rPr>
          <w:rFonts w:hint="eastAsia"/>
          <w:color w:val="auto"/>
          <w:highlight w:val="none"/>
        </w:rPr>
        <w:t>成交</w:t>
      </w:r>
      <w:r>
        <w:rPr>
          <w:color w:val="auto"/>
          <w:highlight w:val="none"/>
        </w:rPr>
        <w:t>通知书发出之日起</w:t>
      </w:r>
      <w:r>
        <w:rPr>
          <w:rFonts w:hint="eastAsia"/>
          <w:color w:val="auto"/>
          <w:highlight w:val="none"/>
        </w:rPr>
        <w:t>15</w:t>
      </w:r>
      <w:r>
        <w:rPr>
          <w:color w:val="auto"/>
          <w:highlight w:val="none"/>
        </w:rPr>
        <w:t>日内，按照</w:t>
      </w:r>
      <w:r>
        <w:rPr>
          <w:rFonts w:hint="eastAsia"/>
          <w:color w:val="auto"/>
          <w:highlight w:val="none"/>
        </w:rPr>
        <w:t>磋商文件</w:t>
      </w:r>
      <w:r>
        <w:rPr>
          <w:color w:val="auto"/>
          <w:highlight w:val="none"/>
        </w:rPr>
        <w:t>和</w:t>
      </w:r>
      <w:r>
        <w:rPr>
          <w:rFonts w:hint="eastAsia"/>
          <w:color w:val="auto"/>
          <w:highlight w:val="none"/>
        </w:rPr>
        <w:t>成交供应商响应文件</w:t>
      </w:r>
      <w:r>
        <w:rPr>
          <w:color w:val="auto"/>
          <w:highlight w:val="none"/>
        </w:rPr>
        <w:t>的约定，与</w:t>
      </w:r>
      <w:r>
        <w:rPr>
          <w:rFonts w:hint="eastAsia"/>
          <w:color w:val="auto"/>
          <w:highlight w:val="none"/>
        </w:rPr>
        <w:t>成交供应商</w:t>
      </w:r>
      <w:r>
        <w:rPr>
          <w:color w:val="auto"/>
          <w:highlight w:val="none"/>
        </w:rPr>
        <w:t>签订书面合同；无故不签订合同的为自动放弃。所签订的合同不得对</w:t>
      </w:r>
      <w:r>
        <w:rPr>
          <w:rFonts w:hint="eastAsia"/>
          <w:color w:val="auto"/>
          <w:highlight w:val="none"/>
        </w:rPr>
        <w:t>磋商文件</w:t>
      </w:r>
      <w:r>
        <w:rPr>
          <w:color w:val="auto"/>
          <w:highlight w:val="none"/>
        </w:rPr>
        <w:t>和</w:t>
      </w:r>
      <w:r>
        <w:rPr>
          <w:rFonts w:hint="eastAsia"/>
          <w:color w:val="auto"/>
          <w:highlight w:val="none"/>
        </w:rPr>
        <w:t>成交供应商响应文件</w:t>
      </w:r>
      <w:r>
        <w:rPr>
          <w:color w:val="auto"/>
          <w:highlight w:val="none"/>
        </w:rPr>
        <w:t>作实质性修改。</w:t>
      </w:r>
    </w:p>
    <w:p>
      <w:pPr>
        <w:ind w:firstLine="480" w:firstLineChars="200"/>
        <w:rPr>
          <w:color w:val="auto"/>
          <w:highlight w:val="none"/>
        </w:rPr>
      </w:pPr>
      <w:r>
        <w:rPr>
          <w:color w:val="auto"/>
          <w:highlight w:val="none"/>
        </w:rPr>
        <w:t>2．磋商文件、</w:t>
      </w:r>
      <w:r>
        <w:rPr>
          <w:rFonts w:hint="eastAsia"/>
          <w:color w:val="auto"/>
          <w:highlight w:val="none"/>
        </w:rPr>
        <w:t>成交供应商</w:t>
      </w:r>
      <w:r>
        <w:rPr>
          <w:color w:val="auto"/>
          <w:highlight w:val="none"/>
        </w:rPr>
        <w:t>的磋商响应文件及澄清文件等，均为签订</w:t>
      </w:r>
      <w:r>
        <w:rPr>
          <w:rFonts w:hint="eastAsia"/>
          <w:color w:val="auto"/>
          <w:highlight w:val="none"/>
        </w:rPr>
        <w:t>本次采购</w:t>
      </w:r>
      <w:r>
        <w:rPr>
          <w:color w:val="auto"/>
          <w:highlight w:val="none"/>
        </w:rPr>
        <w:t>合同的依据。</w:t>
      </w:r>
    </w:p>
    <w:p>
      <w:pPr>
        <w:ind w:firstLine="480" w:firstLineChars="200"/>
        <w:rPr>
          <w:color w:val="auto"/>
          <w:highlight w:val="none"/>
        </w:rPr>
      </w:pPr>
      <w:r>
        <w:rPr>
          <w:color w:val="auto"/>
          <w:highlight w:val="none"/>
        </w:rPr>
        <w:t>3．合同生效条款由供需双方约定，法律、行政法规规定应当办理批准、登记等手续后生效的合同，依照其规定。</w:t>
      </w:r>
    </w:p>
    <w:p>
      <w:pPr>
        <w:pStyle w:val="4"/>
        <w:ind w:firstLine="480"/>
        <w:rPr>
          <w:color w:val="auto"/>
          <w:highlight w:val="none"/>
        </w:rPr>
      </w:pPr>
      <w:bookmarkStart w:id="245" w:name="_Toc32329236"/>
      <w:bookmarkStart w:id="246" w:name="_Toc32329095"/>
      <w:bookmarkStart w:id="247" w:name="_Toc36064024"/>
      <w:bookmarkStart w:id="248" w:name="_Toc36064096"/>
      <w:bookmarkStart w:id="249" w:name="_Toc32329194"/>
      <w:bookmarkStart w:id="250" w:name="_Toc32329148"/>
      <w:bookmarkStart w:id="251" w:name="_Toc36064060"/>
      <w:r>
        <w:rPr>
          <w:color w:val="auto"/>
          <w:highlight w:val="none"/>
        </w:rPr>
        <w:t>十</w:t>
      </w:r>
      <w:r>
        <w:rPr>
          <w:rFonts w:hint="eastAsia"/>
          <w:color w:val="auto"/>
          <w:highlight w:val="none"/>
        </w:rPr>
        <w:t>一</w:t>
      </w:r>
      <w:r>
        <w:rPr>
          <w:color w:val="auto"/>
          <w:highlight w:val="none"/>
        </w:rPr>
        <w:t>、履约保证金</w:t>
      </w:r>
      <w:bookmarkEnd w:id="245"/>
      <w:bookmarkEnd w:id="246"/>
      <w:bookmarkEnd w:id="247"/>
      <w:bookmarkEnd w:id="248"/>
      <w:bookmarkEnd w:id="249"/>
      <w:bookmarkEnd w:id="250"/>
      <w:bookmarkEnd w:id="251"/>
    </w:p>
    <w:p>
      <w:pPr>
        <w:ind w:firstLine="480" w:firstLineChars="200"/>
        <w:rPr>
          <w:color w:val="auto"/>
          <w:highlight w:val="none"/>
        </w:rPr>
      </w:pPr>
      <w:r>
        <w:rPr>
          <w:rFonts w:hint="eastAsia"/>
          <w:color w:val="auto"/>
          <w:highlight w:val="none"/>
        </w:rPr>
        <w:t>（一）供应商是否提供履约担保：提供。</w:t>
      </w:r>
    </w:p>
    <w:p>
      <w:pPr>
        <w:ind w:firstLine="480" w:firstLineChars="200"/>
        <w:rPr>
          <w:color w:val="auto"/>
          <w:highlight w:val="none"/>
        </w:rPr>
      </w:pPr>
      <w:r>
        <w:rPr>
          <w:rFonts w:hint="eastAsia"/>
          <w:color w:val="auto"/>
          <w:highlight w:val="none"/>
        </w:rPr>
        <w:t>（二）供应商提供履约担保的形式、金额及期限：</w:t>
      </w:r>
    </w:p>
    <w:p>
      <w:pPr>
        <w:ind w:firstLine="480" w:firstLineChars="200"/>
        <w:rPr>
          <w:color w:val="auto"/>
          <w:highlight w:val="none"/>
        </w:rPr>
      </w:pPr>
      <w:r>
        <w:rPr>
          <w:rFonts w:hint="eastAsia"/>
          <w:color w:val="auto"/>
          <w:highlight w:val="none"/>
        </w:rPr>
        <w:t>1.履约担保的形式：现金或银行保函或现金+银行保函的组合；采用银行保函形式的，保函必须为不可撤销且见索即付。</w:t>
      </w:r>
    </w:p>
    <w:p>
      <w:pPr>
        <w:ind w:firstLine="480" w:firstLineChars="200"/>
        <w:rPr>
          <w:color w:val="auto"/>
          <w:highlight w:val="none"/>
        </w:rPr>
      </w:pPr>
      <w:r>
        <w:rPr>
          <w:rFonts w:hint="eastAsia"/>
          <w:color w:val="auto"/>
          <w:highlight w:val="none"/>
        </w:rPr>
        <w:t>2.履约担保的金额：中标金额的10%；</w:t>
      </w:r>
    </w:p>
    <w:p>
      <w:pPr>
        <w:ind w:firstLine="480" w:firstLineChars="200"/>
        <w:rPr>
          <w:color w:val="auto"/>
          <w:highlight w:val="none"/>
        </w:rPr>
      </w:pPr>
      <w:r>
        <w:rPr>
          <w:rFonts w:hint="eastAsia"/>
          <w:color w:val="auto"/>
          <w:highlight w:val="none"/>
        </w:rPr>
        <w:t>3.履约担保送达招标人的时间：从采购人中标通知书送达拟中标人之日起 15个工作日内。注：如采取多种通知方式的，期限以最先届满的为准。</w:t>
      </w:r>
    </w:p>
    <w:p>
      <w:pPr>
        <w:ind w:firstLine="480" w:firstLineChars="200"/>
        <w:rPr>
          <w:color w:val="auto"/>
          <w:highlight w:val="none"/>
        </w:rPr>
      </w:pPr>
      <w:r>
        <w:rPr>
          <w:rFonts w:hint="eastAsia"/>
          <w:color w:val="auto"/>
          <w:highlight w:val="none"/>
        </w:rPr>
        <w:t>4.履约担保的期限：自提交履约担保之日起至竣工验收合格之日止。</w:t>
      </w:r>
    </w:p>
    <w:p>
      <w:pPr>
        <w:ind w:firstLine="480" w:firstLineChars="200"/>
        <w:jc w:val="center"/>
        <w:rPr>
          <w:rFonts w:ascii="Times New Roman" w:hAnsi="Times New Roman" w:eastAsia="方正仿宋_GBK" w:cs="Times New Roman"/>
          <w:b/>
          <w:color w:val="auto"/>
          <w:kern w:val="44"/>
          <w:sz w:val="36"/>
          <w:szCs w:val="22"/>
          <w:highlight w:val="none"/>
          <w:lang w:val="en-US" w:eastAsia="zh-CN" w:bidi="ar-SA"/>
        </w:rPr>
      </w:pPr>
      <w:r>
        <w:rPr>
          <w:rFonts w:hint="eastAsia"/>
          <w:color w:val="auto"/>
          <w:highlight w:val="none"/>
        </w:rPr>
        <w:t>5.履约担保的退还时间：履约保证金待项目通过区县级合同段验收合格、甲方在收到乙方付款申请资料后30个工作日内无息退还（注：若合同履约过程中承包人存在违约情形的，则退还扣除违约金后的剩余部分金额）。</w:t>
      </w:r>
      <w:r>
        <w:rPr>
          <w:color w:val="auto"/>
          <w:highlight w:val="none"/>
        </w:rPr>
        <w:br w:type="page"/>
      </w:r>
      <w:bookmarkStart w:id="252" w:name="_Toc32329195"/>
      <w:bookmarkStart w:id="253" w:name="_Toc32329237"/>
      <w:bookmarkStart w:id="254" w:name="_Toc32329096"/>
      <w:bookmarkStart w:id="255" w:name="_Toc32329149"/>
      <w:r>
        <w:rPr>
          <w:rFonts w:ascii="Times New Roman" w:hAnsi="Times New Roman" w:eastAsia="方正仿宋_GBK" w:cs="Times New Roman"/>
          <w:b/>
          <w:color w:val="auto"/>
          <w:kern w:val="44"/>
          <w:sz w:val="36"/>
          <w:szCs w:val="22"/>
          <w:highlight w:val="none"/>
          <w:lang w:val="en-US" w:eastAsia="zh-CN" w:bidi="ar-SA"/>
        </w:rPr>
        <w:t xml:space="preserve">第六篇 </w:t>
      </w:r>
      <w:bookmarkEnd w:id="148"/>
      <w:bookmarkEnd w:id="149"/>
      <w:bookmarkStart w:id="256" w:name="_Hlt41879464"/>
      <w:bookmarkEnd w:id="256"/>
      <w:bookmarkStart w:id="257" w:name="_Toc12789072"/>
      <w:r>
        <w:rPr>
          <w:rFonts w:ascii="Times New Roman" w:hAnsi="Times New Roman" w:eastAsia="方正仿宋_GBK" w:cs="Times New Roman"/>
          <w:b/>
          <w:color w:val="auto"/>
          <w:kern w:val="44"/>
          <w:sz w:val="36"/>
          <w:szCs w:val="22"/>
          <w:highlight w:val="none"/>
          <w:lang w:val="en-US" w:eastAsia="zh-CN" w:bidi="ar-SA"/>
        </w:rPr>
        <w:t xml:space="preserve"> </w:t>
      </w:r>
      <w:bookmarkEnd w:id="257"/>
      <w:r>
        <w:rPr>
          <w:rFonts w:ascii="Times New Roman" w:hAnsi="Times New Roman" w:eastAsia="方正仿宋_GBK" w:cs="Times New Roman"/>
          <w:b/>
          <w:color w:val="auto"/>
          <w:kern w:val="44"/>
          <w:sz w:val="36"/>
          <w:szCs w:val="22"/>
          <w:highlight w:val="none"/>
          <w:lang w:val="en-US" w:eastAsia="zh-CN" w:bidi="ar-SA"/>
        </w:rPr>
        <w:t>响应文件编制要求</w:t>
      </w:r>
      <w:bookmarkEnd w:id="252"/>
      <w:bookmarkEnd w:id="253"/>
      <w:bookmarkEnd w:id="254"/>
      <w:bookmarkEnd w:id="255"/>
    </w:p>
    <w:p>
      <w:pPr>
        <w:pStyle w:val="4"/>
        <w:ind w:firstLine="480"/>
        <w:rPr>
          <w:rFonts w:ascii="Arial" w:hAnsi="Arial"/>
          <w:color w:val="auto"/>
          <w:highlight w:val="none"/>
          <w:lang w:val="en-US" w:eastAsia="zh-CN"/>
        </w:rPr>
      </w:pPr>
      <w:bookmarkStart w:id="258" w:name="_Toc36064097"/>
      <w:bookmarkStart w:id="259" w:name="_Toc36064025"/>
      <w:bookmarkStart w:id="260" w:name="_Toc32329097"/>
      <w:bookmarkStart w:id="261" w:name="_Toc32329196"/>
      <w:bookmarkStart w:id="262" w:name="_Toc32329238"/>
      <w:bookmarkStart w:id="263" w:name="_Toc36064061"/>
      <w:bookmarkStart w:id="264" w:name="_Toc32329150"/>
    </w:p>
    <w:p>
      <w:pPr>
        <w:pStyle w:val="4"/>
        <w:ind w:firstLine="480"/>
        <w:rPr>
          <w:rFonts w:ascii="Arial" w:hAnsi="Arial"/>
          <w:color w:val="auto"/>
          <w:highlight w:val="none"/>
          <w:lang w:val="en-US" w:eastAsia="zh-CN"/>
        </w:rPr>
      </w:pPr>
      <w:r>
        <w:rPr>
          <w:rFonts w:ascii="Arial" w:hAnsi="Arial"/>
          <w:color w:val="auto"/>
          <w:highlight w:val="none"/>
          <w:lang w:val="en-US" w:eastAsia="zh-CN"/>
        </w:rPr>
        <w:t>一、经济文件</w:t>
      </w:r>
      <w:bookmarkEnd w:id="258"/>
      <w:bookmarkEnd w:id="259"/>
      <w:bookmarkEnd w:id="260"/>
      <w:bookmarkEnd w:id="261"/>
      <w:bookmarkEnd w:id="262"/>
      <w:bookmarkEnd w:id="263"/>
      <w:bookmarkEnd w:id="264"/>
    </w:p>
    <w:p>
      <w:pPr>
        <w:pStyle w:val="4"/>
        <w:ind w:firstLine="480"/>
        <w:rPr>
          <w:rFonts w:eastAsia="微软雅黑"/>
          <w:color w:val="auto"/>
          <w:highlight w:val="none"/>
        </w:rPr>
      </w:pPr>
      <w:bookmarkStart w:id="265" w:name="_Toc36064062"/>
      <w:bookmarkStart w:id="266" w:name="_Toc32329197"/>
      <w:bookmarkStart w:id="267" w:name="_Toc36064026"/>
      <w:bookmarkStart w:id="268" w:name="_Toc32329098"/>
      <w:bookmarkStart w:id="269" w:name="_Toc36064098"/>
      <w:bookmarkStart w:id="270" w:name="_Toc32329239"/>
      <w:bookmarkStart w:id="271" w:name="_Toc32329151"/>
      <w:r>
        <w:rPr>
          <w:color w:val="auto"/>
          <w:highlight w:val="none"/>
        </w:rPr>
        <w:t>二、技术文件</w:t>
      </w:r>
      <w:bookmarkEnd w:id="265"/>
      <w:bookmarkEnd w:id="266"/>
      <w:bookmarkEnd w:id="267"/>
      <w:bookmarkEnd w:id="268"/>
      <w:bookmarkEnd w:id="269"/>
      <w:bookmarkEnd w:id="270"/>
      <w:bookmarkEnd w:id="271"/>
    </w:p>
    <w:p>
      <w:pPr>
        <w:pStyle w:val="4"/>
        <w:numPr>
          <w:ilvl w:val="0"/>
          <w:numId w:val="1"/>
        </w:numPr>
        <w:ind w:firstLine="480"/>
        <w:rPr>
          <w:color w:val="auto"/>
          <w:highlight w:val="none"/>
        </w:rPr>
      </w:pPr>
      <w:bookmarkStart w:id="272" w:name="_Toc32329198"/>
      <w:bookmarkStart w:id="273" w:name="_Toc32329240"/>
      <w:bookmarkStart w:id="274" w:name="_Toc36064099"/>
      <w:bookmarkStart w:id="275" w:name="_Toc36064027"/>
      <w:bookmarkStart w:id="276" w:name="_Toc36064063"/>
      <w:bookmarkStart w:id="277" w:name="_Toc32329099"/>
      <w:bookmarkStart w:id="278" w:name="_Toc32329152"/>
      <w:r>
        <w:rPr>
          <w:color w:val="auto"/>
          <w:highlight w:val="none"/>
        </w:rPr>
        <w:t>商务文件</w:t>
      </w:r>
      <w:bookmarkEnd w:id="272"/>
      <w:bookmarkEnd w:id="273"/>
      <w:bookmarkEnd w:id="274"/>
      <w:bookmarkEnd w:id="275"/>
      <w:bookmarkEnd w:id="276"/>
      <w:bookmarkEnd w:id="277"/>
      <w:bookmarkEnd w:id="278"/>
    </w:p>
    <w:p>
      <w:pPr>
        <w:rPr>
          <w:color w:val="auto"/>
          <w:highlight w:val="none"/>
        </w:rPr>
      </w:pPr>
      <w:r>
        <w:rPr>
          <w:rFonts w:hint="eastAsia"/>
          <w:color w:val="auto"/>
          <w:highlight w:val="none"/>
        </w:rPr>
        <w:t xml:space="preserve">    </w:t>
      </w:r>
    </w:p>
    <w:p>
      <w:pPr>
        <w:spacing w:line="440" w:lineRule="exact"/>
        <w:ind w:firstLine="480" w:firstLineChars="200"/>
        <w:rPr>
          <w:rFonts w:ascii="方正仿宋_GBK"/>
          <w:color w:val="auto"/>
          <w:szCs w:val="24"/>
          <w:highlight w:val="none"/>
        </w:rPr>
      </w:pPr>
    </w:p>
    <w:p>
      <w:pPr>
        <w:spacing w:line="440" w:lineRule="exact"/>
        <w:ind w:firstLine="480" w:firstLineChars="200"/>
        <w:rPr>
          <w:rFonts w:ascii="方正仿宋_GBK"/>
          <w:color w:val="auto"/>
          <w:szCs w:val="24"/>
          <w:highlight w:val="none"/>
        </w:rPr>
      </w:pPr>
    </w:p>
    <w:p>
      <w:pPr>
        <w:snapToGrid w:val="0"/>
        <w:spacing w:line="440" w:lineRule="exact"/>
        <w:rPr>
          <w:rFonts w:ascii="方正仿宋_GBK"/>
          <w:b/>
          <w:color w:val="auto"/>
          <w:kern w:val="0"/>
          <w:highlight w:val="none"/>
        </w:rPr>
      </w:pPr>
    </w:p>
    <w:p>
      <w:pPr>
        <w:snapToGrid w:val="0"/>
        <w:spacing w:line="360" w:lineRule="auto"/>
        <w:rPr>
          <w:rFonts w:ascii="方正仿宋_GBK"/>
          <w:color w:val="auto"/>
          <w:szCs w:val="24"/>
          <w:highlight w:val="none"/>
          <w:bdr w:val="single" w:color="000000" w:sz="4" w:space="0"/>
        </w:rPr>
        <w:sectPr>
          <w:footerReference r:id="rId14" w:type="default"/>
          <w:footerReference r:id="rId15" w:type="even"/>
          <w:pgSz w:w="11907" w:h="16840"/>
          <w:pgMar w:top="1134" w:right="1191" w:bottom="1134" w:left="1304" w:header="851" w:footer="992" w:gutter="0"/>
          <w:pgNumType w:fmt="numberInDash"/>
          <w:cols w:space="720" w:num="1"/>
          <w:docGrid w:linePitch="380" w:charSpace="2431"/>
        </w:sectPr>
      </w:pPr>
    </w:p>
    <w:p>
      <w:pPr>
        <w:keepNext/>
        <w:pageBreakBefore/>
        <w:tabs>
          <w:tab w:val="left" w:pos="1695"/>
          <w:tab w:val="left" w:pos="3370"/>
          <w:tab w:val="left" w:pos="5555"/>
        </w:tabs>
        <w:autoSpaceDE w:val="0"/>
        <w:autoSpaceDN w:val="0"/>
        <w:adjustRightInd w:val="0"/>
        <w:snapToGrid w:val="0"/>
        <w:spacing w:line="360" w:lineRule="auto"/>
        <w:rPr>
          <w:rFonts w:ascii="方正仿宋_GBK"/>
          <w:b/>
          <w:color w:val="auto"/>
          <w:kern w:val="0"/>
          <w:highlight w:val="none"/>
        </w:rPr>
      </w:pPr>
      <w:r>
        <w:rPr>
          <w:rFonts w:hint="eastAsia" w:ascii="方正仿宋_GBK"/>
          <w:b/>
          <w:color w:val="auto"/>
          <w:w w:val="99"/>
          <w:kern w:val="0"/>
          <w:highlight w:val="none"/>
        </w:rPr>
        <w:t>江津区　　　　　　　　（项目名称）采购</w:t>
      </w:r>
    </w:p>
    <w:p>
      <w:pPr>
        <w:ind w:firstLine="1320" w:firstLineChars="550"/>
        <w:jc w:val="right"/>
        <w:rPr>
          <w:rFonts w:ascii="方正仿宋_GBK"/>
          <w:color w:val="auto"/>
          <w:highlight w:val="none"/>
        </w:rPr>
      </w:pPr>
      <w:r>
        <w:rPr>
          <w:rFonts w:hint="eastAsia" w:ascii="方正仿宋_GBK"/>
          <w:color w:val="auto"/>
          <w:highlight w:val="none"/>
        </w:rPr>
        <w:t>正本／副本</w:t>
      </w:r>
    </w:p>
    <w:p>
      <w:pPr>
        <w:pStyle w:val="23"/>
        <w:spacing w:line="440" w:lineRule="exact"/>
        <w:ind w:left="2800"/>
        <w:rPr>
          <w:rFonts w:ascii="方正仿宋_GBK" w:eastAsia="方正仿宋_GBK"/>
          <w:color w:val="auto"/>
          <w:sz w:val="28"/>
          <w:highlight w:val="none"/>
        </w:rPr>
      </w:pPr>
    </w:p>
    <w:p>
      <w:pPr>
        <w:pStyle w:val="23"/>
        <w:spacing w:line="440" w:lineRule="exact"/>
        <w:ind w:left="2800" w:firstLine="417" w:firstLineChars="149"/>
        <w:rPr>
          <w:rFonts w:ascii="方正仿宋_GBK" w:eastAsia="方正仿宋_GBK"/>
          <w:color w:val="auto"/>
          <w:sz w:val="28"/>
          <w:highlight w:val="none"/>
        </w:rPr>
      </w:pPr>
    </w:p>
    <w:p>
      <w:pPr>
        <w:tabs>
          <w:tab w:val="left" w:pos="3600"/>
          <w:tab w:val="left" w:pos="4480"/>
          <w:tab w:val="left" w:pos="5360"/>
        </w:tabs>
        <w:autoSpaceDE w:val="0"/>
        <w:autoSpaceDN w:val="0"/>
        <w:adjustRightInd w:val="0"/>
        <w:snapToGrid w:val="0"/>
        <w:spacing w:line="360" w:lineRule="auto"/>
        <w:jc w:val="center"/>
        <w:rPr>
          <w:rFonts w:ascii="方正仿宋_GBK"/>
          <w:b/>
          <w:color w:val="auto"/>
          <w:kern w:val="0"/>
          <w:sz w:val="84"/>
          <w:highlight w:val="none"/>
        </w:rPr>
      </w:pPr>
      <w:r>
        <w:rPr>
          <w:rFonts w:hint="eastAsia" w:ascii="方正仿宋_GBK"/>
          <w:b/>
          <w:color w:val="auto"/>
          <w:kern w:val="0"/>
          <w:sz w:val="84"/>
          <w:highlight w:val="none"/>
        </w:rPr>
        <w:t>响  应  文  件</w:t>
      </w:r>
    </w:p>
    <w:p>
      <w:pPr>
        <w:autoSpaceDE w:val="0"/>
        <w:autoSpaceDN w:val="0"/>
        <w:adjustRightInd w:val="0"/>
        <w:snapToGrid w:val="0"/>
        <w:spacing w:line="360" w:lineRule="auto"/>
        <w:jc w:val="left"/>
        <w:rPr>
          <w:rFonts w:ascii="方正仿宋_GBK"/>
          <w:color w:val="auto"/>
          <w:kern w:val="0"/>
          <w:sz w:val="44"/>
          <w:highlight w:val="none"/>
        </w:rPr>
      </w:pPr>
    </w:p>
    <w:p>
      <w:pPr>
        <w:autoSpaceDE w:val="0"/>
        <w:autoSpaceDN w:val="0"/>
        <w:adjustRightInd w:val="0"/>
        <w:snapToGrid w:val="0"/>
        <w:spacing w:line="360" w:lineRule="auto"/>
        <w:jc w:val="center"/>
        <w:rPr>
          <w:rFonts w:ascii="方正仿宋_GBK"/>
          <w:b/>
          <w:color w:val="auto"/>
          <w:kern w:val="0"/>
          <w:sz w:val="48"/>
          <w:highlight w:val="none"/>
        </w:rPr>
      </w:pPr>
      <w:r>
        <w:rPr>
          <w:rFonts w:hint="eastAsia" w:ascii="方正仿宋_GBK"/>
          <w:b/>
          <w:color w:val="auto"/>
          <w:kern w:val="0"/>
          <w:sz w:val="48"/>
          <w:highlight w:val="none"/>
        </w:rPr>
        <w:t>（经济文件）</w:t>
      </w: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tabs>
          <w:tab w:val="left" w:pos="6080"/>
          <w:tab w:val="left" w:pos="6640"/>
        </w:tabs>
        <w:autoSpaceDE w:val="0"/>
        <w:autoSpaceDN w:val="0"/>
        <w:adjustRightInd w:val="0"/>
        <w:snapToGrid w:val="0"/>
        <w:spacing w:line="360" w:lineRule="auto"/>
        <w:ind w:firstLine="1904" w:firstLineChars="800"/>
        <w:jc w:val="left"/>
        <w:rPr>
          <w:rFonts w:ascii="方正仿宋_GBK"/>
          <w:b/>
          <w:color w:val="auto"/>
          <w:w w:val="99"/>
          <w:kern w:val="0"/>
          <w:highlight w:val="none"/>
        </w:rPr>
      </w:pPr>
      <w:r>
        <w:rPr>
          <w:rFonts w:hint="eastAsia" w:ascii="方正仿宋_GBK"/>
          <w:b/>
          <w:color w:val="auto"/>
          <w:w w:val="99"/>
          <w:kern w:val="0"/>
          <w:highlight w:val="none"/>
        </w:rPr>
        <w:t>供应商</w:t>
      </w:r>
      <w:r>
        <w:rPr>
          <w:rFonts w:hint="eastAsia" w:ascii="方正仿宋_GBK"/>
          <w:b/>
          <w:color w:val="auto"/>
          <w:spacing w:val="1"/>
          <w:w w:val="99"/>
          <w:kern w:val="0"/>
          <w:highlight w:val="none"/>
        </w:rPr>
        <w:t>：</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（盖单位公章）</w:t>
      </w:r>
    </w:p>
    <w:p>
      <w:pPr>
        <w:tabs>
          <w:tab w:val="left" w:pos="6080"/>
          <w:tab w:val="left" w:pos="6640"/>
        </w:tabs>
        <w:autoSpaceDE w:val="0"/>
        <w:autoSpaceDN w:val="0"/>
        <w:adjustRightInd w:val="0"/>
        <w:snapToGrid w:val="0"/>
        <w:spacing w:line="360" w:lineRule="auto"/>
        <w:jc w:val="left"/>
        <w:rPr>
          <w:rFonts w:ascii="方正仿宋_GBK"/>
          <w:b/>
          <w:color w:val="auto"/>
          <w:w w:val="99"/>
          <w:kern w:val="0"/>
          <w:highlight w:val="none"/>
        </w:rPr>
      </w:pPr>
    </w:p>
    <w:p>
      <w:pPr>
        <w:tabs>
          <w:tab w:val="left" w:pos="6080"/>
          <w:tab w:val="left" w:pos="6640"/>
        </w:tabs>
        <w:autoSpaceDE w:val="0"/>
        <w:autoSpaceDN w:val="0"/>
        <w:adjustRightInd w:val="0"/>
        <w:snapToGrid w:val="0"/>
        <w:spacing w:line="360" w:lineRule="auto"/>
        <w:ind w:firstLine="1996" w:firstLineChars="839"/>
        <w:jc w:val="left"/>
        <w:rPr>
          <w:rFonts w:ascii="方正仿宋_GBK"/>
          <w:b/>
          <w:color w:val="auto"/>
          <w:w w:val="99"/>
          <w:kern w:val="0"/>
          <w:highlight w:val="none"/>
        </w:rPr>
      </w:pPr>
      <w:r>
        <w:rPr>
          <w:rFonts w:hint="eastAsia" w:ascii="方正仿宋_GBK"/>
          <w:b/>
          <w:color w:val="auto"/>
          <w:w w:val="99"/>
          <w:kern w:val="0"/>
          <w:highlight w:val="none"/>
        </w:rPr>
        <w:t>法定代表人：</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（签字）</w:t>
      </w:r>
    </w:p>
    <w:p>
      <w:pPr>
        <w:tabs>
          <w:tab w:val="left" w:pos="6080"/>
          <w:tab w:val="left" w:pos="6640"/>
        </w:tabs>
        <w:autoSpaceDE w:val="0"/>
        <w:autoSpaceDN w:val="0"/>
        <w:adjustRightInd w:val="0"/>
        <w:snapToGrid w:val="0"/>
        <w:spacing w:line="360" w:lineRule="auto"/>
        <w:jc w:val="center"/>
        <w:rPr>
          <w:rFonts w:ascii="方正仿宋_GBK"/>
          <w:b/>
          <w:color w:val="auto"/>
          <w:kern w:val="0"/>
          <w:highlight w:val="none"/>
        </w:rPr>
      </w:pPr>
    </w:p>
    <w:p>
      <w:pPr>
        <w:tabs>
          <w:tab w:val="left" w:pos="3280"/>
          <w:tab w:val="left" w:pos="4680"/>
          <w:tab w:val="left" w:pos="6080"/>
        </w:tabs>
        <w:autoSpaceDE w:val="0"/>
        <w:autoSpaceDN w:val="0"/>
        <w:adjustRightInd w:val="0"/>
        <w:snapToGrid w:val="0"/>
        <w:spacing w:line="360" w:lineRule="auto"/>
        <w:jc w:val="center"/>
        <w:rPr>
          <w:rFonts w:ascii="方正仿宋_GBK"/>
          <w:b/>
          <w:color w:val="auto"/>
          <w:kern w:val="0"/>
          <w:highlight w:val="none"/>
        </w:rPr>
      </w:pP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年</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月</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日</w:t>
      </w:r>
    </w:p>
    <w:p>
      <w:pPr>
        <w:pStyle w:val="4"/>
        <w:ind w:firstLine="560"/>
        <w:rPr>
          <w:rFonts w:ascii="方正仿宋_GBK" w:cs="宋体"/>
          <w:color w:val="auto"/>
          <w:sz w:val="28"/>
          <w:szCs w:val="28"/>
          <w:highlight w:val="none"/>
          <w:lang w:val="zh-CN"/>
        </w:rPr>
      </w:pPr>
    </w:p>
    <w:p>
      <w:pPr>
        <w:rPr>
          <w:rFonts w:ascii="方正仿宋_GBK"/>
          <w:color w:val="auto"/>
          <w:highlight w:val="none"/>
        </w:rPr>
      </w:pPr>
    </w:p>
    <w:p>
      <w:pPr>
        <w:rPr>
          <w:rFonts w:ascii="方正仿宋_GBK"/>
          <w:color w:val="auto"/>
          <w:highlight w:val="none"/>
        </w:rPr>
      </w:pPr>
    </w:p>
    <w:p>
      <w:pPr>
        <w:tabs>
          <w:tab w:val="left" w:pos="6300"/>
        </w:tabs>
        <w:snapToGrid w:val="0"/>
        <w:spacing w:line="480" w:lineRule="exact"/>
        <w:jc w:val="center"/>
        <w:rPr>
          <w:rFonts w:ascii="方正仿宋_GBK"/>
          <w:b/>
          <w:color w:val="auto"/>
          <w:szCs w:val="28"/>
          <w:highlight w:val="none"/>
        </w:rPr>
      </w:pPr>
      <w:r>
        <w:rPr>
          <w:rFonts w:hint="eastAsia" w:ascii="方正仿宋_GBK"/>
          <w:b/>
          <w:color w:val="auto"/>
          <w:szCs w:val="28"/>
          <w:highlight w:val="none"/>
        </w:rPr>
        <w:br w:type="page"/>
      </w:r>
      <w:bookmarkStart w:id="279" w:name="_Toc32329100"/>
      <w:r>
        <w:rPr>
          <w:rFonts w:hint="eastAsia" w:ascii="方正仿宋_GBK"/>
          <w:b/>
          <w:color w:val="auto"/>
          <w:szCs w:val="28"/>
          <w:highlight w:val="none"/>
        </w:rPr>
        <w:t>（一）竞争性磋商报价函</w:t>
      </w:r>
      <w:bookmarkEnd w:id="279"/>
    </w:p>
    <w:p>
      <w:pPr>
        <w:tabs>
          <w:tab w:val="left" w:pos="6300"/>
        </w:tabs>
        <w:snapToGrid w:val="0"/>
        <w:spacing w:line="480" w:lineRule="exact"/>
        <w:rPr>
          <w:rFonts w:ascii="方正仿宋_GBK"/>
          <w:color w:val="auto"/>
          <w:szCs w:val="24"/>
          <w:highlight w:val="none"/>
        </w:rPr>
      </w:pPr>
      <w:r>
        <w:rPr>
          <w:rFonts w:hint="eastAsia" w:ascii="方正仿宋_GBK"/>
          <w:color w:val="auto"/>
          <w:szCs w:val="24"/>
          <w:highlight w:val="none"/>
        </w:rPr>
        <w:t>重庆市江津区电力建筑安装工程有限责任公司：</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我方收到____________________________（项目名称）的竞争性磋商文件，经详细研究，决定参加该项目的磋商。</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1、愿意按照竞争性磋商文件中的一切要求，提供本项目的技术服务，报价为人民币大写：</w:t>
      </w:r>
      <w:r>
        <w:rPr>
          <w:rFonts w:hint="eastAsia" w:ascii="方正仿宋_GBK"/>
          <w:color w:val="auto"/>
          <w:szCs w:val="24"/>
          <w:highlight w:val="none"/>
          <w:u w:val="single"/>
        </w:rPr>
        <w:t xml:space="preserve">      </w:t>
      </w:r>
      <w:r>
        <w:rPr>
          <w:rFonts w:hint="eastAsia" w:ascii="方正仿宋_GBK"/>
          <w:color w:val="auto"/>
          <w:szCs w:val="24"/>
          <w:highlight w:val="none"/>
        </w:rPr>
        <w:t>元整。</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2、我方现提交的响应文件为：响应文件正本</w:t>
      </w:r>
      <w:r>
        <w:rPr>
          <w:rFonts w:hint="eastAsia" w:ascii="方正仿宋_GBK"/>
          <w:color w:val="auto"/>
          <w:szCs w:val="24"/>
          <w:highlight w:val="none"/>
          <w:u w:val="single"/>
        </w:rPr>
        <w:t>一</w:t>
      </w:r>
      <w:r>
        <w:rPr>
          <w:rFonts w:hint="eastAsia" w:ascii="方正仿宋_GBK"/>
          <w:color w:val="auto"/>
          <w:szCs w:val="24"/>
          <w:highlight w:val="none"/>
        </w:rPr>
        <w:t>份，副本</w:t>
      </w:r>
      <w:r>
        <w:rPr>
          <w:rFonts w:hint="eastAsia" w:ascii="方正仿宋_GBK"/>
          <w:color w:val="auto"/>
          <w:szCs w:val="24"/>
          <w:highlight w:val="none"/>
          <w:u w:val="single"/>
        </w:rPr>
        <w:t>二</w:t>
      </w:r>
      <w:r>
        <w:rPr>
          <w:rFonts w:hint="eastAsia" w:ascii="方正仿宋_GBK"/>
          <w:color w:val="auto"/>
          <w:szCs w:val="24"/>
          <w:highlight w:val="none"/>
        </w:rPr>
        <w:t>份，电子文档一份。</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3、我方承诺：本次磋商的有效期为90天。</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4、我方完全理解和接受贵方竞争性磋商文件的一切规定和要求及评审办法。</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5、在整个竞争性磋商过程中，我方若有违规行为，接受按照相关实施条例等规定给予惩罚。</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6、我方若成为成交供应商，将按照最终磋商结果签订合同，并且严格履行合同义务。本承诺函将成为合同不可分割的一部分，与合同具有同等的法律效力。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7、</w:t>
      </w:r>
      <w:r>
        <w:rPr>
          <w:rFonts w:hint="eastAsia" w:ascii="方正仿宋_GBK"/>
          <w:color w:val="auto"/>
          <w:szCs w:val="28"/>
          <w:highlight w:val="none"/>
        </w:rPr>
        <w:t>我方理解，最低报价不是成交的唯一条件。</w:t>
      </w:r>
    </w:p>
    <w:p>
      <w:pPr>
        <w:tabs>
          <w:tab w:val="left" w:pos="6300"/>
        </w:tabs>
        <w:snapToGrid w:val="0"/>
        <w:spacing w:line="312" w:lineRule="auto"/>
        <w:ind w:firstLine="570"/>
        <w:rPr>
          <w:rFonts w:ascii="方正仿宋_GBK"/>
          <w:color w:val="auto"/>
          <w:szCs w:val="24"/>
          <w:highlight w:val="none"/>
        </w:rPr>
      </w:pPr>
      <w:r>
        <w:rPr>
          <w:rFonts w:hint="eastAsia" w:ascii="方正仿宋_GBK"/>
          <w:color w:val="auto"/>
          <w:szCs w:val="24"/>
          <w:highlight w:val="none"/>
        </w:rPr>
        <w:t>8、我方同意按竞争性磋商文件规定，交纳竞争性磋商文件要求的</w:t>
      </w:r>
      <w:r>
        <w:rPr>
          <w:rFonts w:hint="eastAsia" w:ascii="方正仿宋_GBK"/>
          <w:color w:val="auto"/>
          <w:szCs w:val="24"/>
          <w:highlight w:val="none"/>
          <w:lang w:eastAsia="zh-CN"/>
        </w:rPr>
        <w:t>投标保证金</w:t>
      </w:r>
      <w:r>
        <w:rPr>
          <w:rFonts w:hint="eastAsia" w:ascii="方正仿宋_GBK"/>
          <w:color w:val="auto"/>
          <w:szCs w:val="24"/>
          <w:highlight w:val="none"/>
        </w:rPr>
        <w:t>。</w:t>
      </w:r>
    </w:p>
    <w:p>
      <w:pPr>
        <w:tabs>
          <w:tab w:val="left" w:pos="6300"/>
        </w:tabs>
        <w:snapToGrid w:val="0"/>
        <w:spacing w:line="312" w:lineRule="auto"/>
        <w:ind w:firstLine="570"/>
        <w:rPr>
          <w:rFonts w:ascii="方正仿宋_GBK"/>
          <w:color w:val="auto"/>
          <w:szCs w:val="24"/>
          <w:highlight w:val="none"/>
        </w:rPr>
      </w:pPr>
    </w:p>
    <w:p>
      <w:pPr>
        <w:tabs>
          <w:tab w:val="left" w:pos="6300"/>
        </w:tabs>
        <w:snapToGrid w:val="0"/>
        <w:spacing w:line="312" w:lineRule="auto"/>
        <w:ind w:firstLine="570"/>
        <w:rPr>
          <w:rFonts w:ascii="方正仿宋_GBK"/>
          <w:color w:val="auto"/>
          <w:szCs w:val="24"/>
          <w:highlight w:val="none"/>
        </w:rPr>
      </w:pPr>
    </w:p>
    <w:p>
      <w:pPr>
        <w:tabs>
          <w:tab w:val="left" w:pos="6300"/>
        </w:tabs>
        <w:snapToGrid w:val="0"/>
        <w:spacing w:line="312" w:lineRule="auto"/>
        <w:ind w:firstLine="570"/>
        <w:rPr>
          <w:rFonts w:ascii="方正仿宋_GBK"/>
          <w:color w:val="auto"/>
          <w:szCs w:val="24"/>
          <w:highlight w:val="none"/>
        </w:rPr>
      </w:pPr>
    </w:p>
    <w:p>
      <w:pPr>
        <w:tabs>
          <w:tab w:val="left" w:pos="6300"/>
        </w:tabs>
        <w:snapToGrid w:val="0"/>
        <w:spacing w:line="312" w:lineRule="auto"/>
        <w:ind w:firstLine="570"/>
        <w:rPr>
          <w:rFonts w:ascii="方正仿宋_GBK"/>
          <w:color w:val="auto"/>
          <w:szCs w:val="24"/>
          <w:highlight w:val="none"/>
        </w:rPr>
      </w:pPr>
      <w:r>
        <w:rPr>
          <w:rFonts w:hint="eastAsia" w:ascii="方正仿宋_GBK"/>
          <w:color w:val="auto"/>
          <w:szCs w:val="24"/>
          <w:highlight w:val="none"/>
        </w:rPr>
        <w:t xml:space="preserve">                                                供应商（公章）：</w:t>
      </w:r>
    </w:p>
    <w:p>
      <w:pPr>
        <w:snapToGrid w:val="0"/>
        <w:spacing w:line="312" w:lineRule="auto"/>
        <w:ind w:firstLine="480" w:firstLineChars="200"/>
        <w:rPr>
          <w:rFonts w:ascii="方正仿宋_GBK"/>
          <w:color w:val="auto"/>
          <w:szCs w:val="24"/>
          <w:highlight w:val="none"/>
        </w:rPr>
        <w:sectPr>
          <w:pgSz w:w="11907" w:h="16840"/>
          <w:pgMar w:top="1134" w:right="1191" w:bottom="1134" w:left="1304" w:header="851" w:footer="992" w:gutter="0"/>
          <w:pgNumType w:fmt="numberInDash"/>
          <w:cols w:space="720" w:num="1"/>
          <w:docGrid w:linePitch="380" w:charSpace="2431"/>
        </w:sectPr>
      </w:pPr>
      <w:r>
        <w:rPr>
          <w:rFonts w:hint="eastAsia" w:ascii="方正仿宋_GBK"/>
          <w:color w:val="auto"/>
          <w:szCs w:val="24"/>
          <w:highlight w:val="none"/>
        </w:rPr>
        <w:t xml:space="preserve">                                                  年   月   日</w:t>
      </w:r>
    </w:p>
    <w:p>
      <w:pPr>
        <w:tabs>
          <w:tab w:val="left" w:pos="6300"/>
        </w:tabs>
        <w:snapToGrid w:val="0"/>
        <w:spacing w:line="500" w:lineRule="exact"/>
        <w:rPr>
          <w:rFonts w:ascii="方正仿宋_GBK"/>
          <w:b/>
          <w:color w:val="auto"/>
          <w:w w:val="99"/>
          <w:kern w:val="0"/>
          <w:highlight w:val="none"/>
        </w:rPr>
      </w:pPr>
      <w:bookmarkStart w:id="280" w:name="_Toc32329101"/>
      <w:r>
        <w:rPr>
          <w:rFonts w:hint="eastAsia" w:ascii="方正仿宋_GBK"/>
          <w:b/>
          <w:color w:val="auto"/>
          <w:w w:val="99"/>
          <w:kern w:val="0"/>
          <w:highlight w:val="none"/>
        </w:rPr>
        <w:t xml:space="preserve">（二）采购清单明细报价表                              </w:t>
      </w:r>
    </w:p>
    <w:p>
      <w:pPr>
        <w:tabs>
          <w:tab w:val="left" w:pos="6300"/>
        </w:tabs>
        <w:snapToGrid w:val="0"/>
        <w:spacing w:line="312" w:lineRule="auto"/>
        <w:ind w:firstLine="570"/>
        <w:rPr>
          <w:rFonts w:hint="default" w:ascii="方正仿宋_GBK" w:eastAsia="方正仿宋_GBK"/>
          <w:color w:val="auto"/>
          <w:szCs w:val="24"/>
          <w:highlight w:val="none"/>
          <w:lang w:val="en-US" w:eastAsia="zh-CN"/>
        </w:rPr>
      </w:pPr>
      <w:r>
        <w:rPr>
          <w:rFonts w:hint="eastAsia" w:ascii="方正仿宋_GBK"/>
          <w:color w:val="auto"/>
          <w:szCs w:val="24"/>
          <w:highlight w:val="none"/>
          <w:lang w:val="en-US" w:eastAsia="zh-CN"/>
        </w:rPr>
        <w:t>格式详见附件2</w:t>
      </w:r>
    </w:p>
    <w:p>
      <w:pPr>
        <w:tabs>
          <w:tab w:val="left" w:pos="6300"/>
        </w:tabs>
        <w:snapToGrid w:val="0"/>
        <w:spacing w:line="312" w:lineRule="auto"/>
        <w:ind w:firstLine="570"/>
        <w:rPr>
          <w:rFonts w:ascii="方正仿宋_GBK"/>
          <w:color w:val="auto"/>
          <w:szCs w:val="24"/>
          <w:highlight w:val="none"/>
        </w:rPr>
      </w:pPr>
    </w:p>
    <w:p>
      <w:pPr>
        <w:tabs>
          <w:tab w:val="left" w:pos="6300"/>
        </w:tabs>
        <w:snapToGrid w:val="0"/>
        <w:spacing w:line="312" w:lineRule="auto"/>
        <w:ind w:firstLine="570"/>
        <w:rPr>
          <w:rFonts w:ascii="方正仿宋_GBK"/>
          <w:color w:val="auto"/>
          <w:szCs w:val="24"/>
          <w:highlight w:val="none"/>
        </w:rPr>
      </w:pPr>
      <w:r>
        <w:rPr>
          <w:rFonts w:hint="eastAsia" w:ascii="方正仿宋_GBK"/>
          <w:color w:val="auto"/>
          <w:szCs w:val="24"/>
          <w:highlight w:val="none"/>
        </w:rPr>
        <w:t xml:space="preserve">            </w:t>
      </w:r>
    </w:p>
    <w:p>
      <w:pPr>
        <w:tabs>
          <w:tab w:val="left" w:pos="6300"/>
        </w:tabs>
        <w:snapToGrid w:val="0"/>
        <w:spacing w:line="312" w:lineRule="auto"/>
        <w:ind w:firstLine="570"/>
        <w:rPr>
          <w:rFonts w:ascii="方正仿宋_GBK"/>
          <w:color w:val="auto"/>
          <w:szCs w:val="24"/>
          <w:highlight w:val="none"/>
        </w:rPr>
      </w:pPr>
    </w:p>
    <w:p>
      <w:pPr>
        <w:tabs>
          <w:tab w:val="left" w:pos="6300"/>
        </w:tabs>
        <w:snapToGrid w:val="0"/>
        <w:spacing w:line="312" w:lineRule="auto"/>
        <w:ind w:firstLine="570"/>
        <w:rPr>
          <w:rFonts w:ascii="方正仿宋_GBK"/>
          <w:color w:val="auto"/>
          <w:szCs w:val="24"/>
          <w:highlight w:val="none"/>
        </w:rPr>
      </w:pPr>
    </w:p>
    <w:p>
      <w:pPr>
        <w:tabs>
          <w:tab w:val="left" w:pos="6300"/>
        </w:tabs>
        <w:snapToGrid w:val="0"/>
        <w:spacing w:line="312" w:lineRule="auto"/>
        <w:ind w:firstLine="570"/>
        <w:rPr>
          <w:rFonts w:ascii="方正仿宋_GBK"/>
          <w:color w:val="auto"/>
          <w:szCs w:val="24"/>
          <w:highlight w:val="none"/>
        </w:rPr>
      </w:pPr>
      <w:r>
        <w:rPr>
          <w:rFonts w:hint="eastAsia" w:ascii="方正仿宋_GBK"/>
          <w:color w:val="auto"/>
          <w:szCs w:val="24"/>
          <w:highlight w:val="none"/>
        </w:rPr>
        <w:t xml:space="preserve">                        供应商名称（公章）或自然人签署：</w:t>
      </w:r>
    </w:p>
    <w:p>
      <w:pPr>
        <w:ind w:firstLine="480" w:firstLineChars="200"/>
        <w:rPr>
          <w:rFonts w:ascii="方正仿宋_GBK"/>
          <w:color w:val="auto"/>
          <w:szCs w:val="28"/>
          <w:highlight w:val="none"/>
        </w:rPr>
      </w:pPr>
      <w:r>
        <w:rPr>
          <w:rFonts w:hint="eastAsia" w:ascii="方正仿宋_GBK"/>
          <w:color w:val="auto"/>
          <w:szCs w:val="24"/>
          <w:highlight w:val="none"/>
        </w:rPr>
        <w:t>年     月    日</w:t>
      </w:r>
      <w:r>
        <w:rPr>
          <w:rFonts w:hint="eastAsia" w:ascii="方正仿宋_GBK"/>
          <w:color w:val="auto"/>
          <w:szCs w:val="24"/>
          <w:highlight w:val="none"/>
        </w:rPr>
        <w:br w:type="page"/>
      </w:r>
      <w:r>
        <w:rPr>
          <w:rFonts w:hint="eastAsia" w:ascii="方正仿宋_GBK"/>
          <w:color w:val="auto"/>
          <w:kern w:val="0"/>
          <w:highlight w:val="none"/>
        </w:rPr>
        <w:t>（三）</w:t>
      </w:r>
      <w:r>
        <w:rPr>
          <w:rFonts w:hint="eastAsia" w:ascii="方正仿宋_GBK"/>
          <w:color w:val="auto"/>
          <w:szCs w:val="28"/>
          <w:highlight w:val="none"/>
        </w:rPr>
        <w:t>法定代表人身份证明书（格式）</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项目名称：</w:t>
      </w:r>
      <w:r>
        <w:rPr>
          <w:rFonts w:hint="eastAsia" w:ascii="方正仿宋_GBK"/>
          <w:color w:val="auto"/>
          <w:highlight w:val="none"/>
          <w:u w:val="single"/>
        </w:rPr>
        <w:t xml:space="preserve">                                                </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rPr>
          <w:rFonts w:ascii="方正仿宋_GBK"/>
          <w:color w:val="auto"/>
          <w:highlight w:val="none"/>
        </w:rPr>
      </w:pPr>
      <w:r>
        <w:rPr>
          <w:rFonts w:hint="eastAsia" w:ascii="方正仿宋_GBK"/>
          <w:color w:val="auto"/>
          <w:highlight w:val="none"/>
        </w:rPr>
        <w:t>致：重庆市江津区电力建筑安装工程有限责任公司</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u w:val="single"/>
        </w:rPr>
        <w:t xml:space="preserve">        </w:t>
      </w:r>
      <w:r>
        <w:rPr>
          <w:rFonts w:hint="eastAsia" w:ascii="方正仿宋_GBK"/>
          <w:color w:val="auto"/>
          <w:highlight w:val="none"/>
        </w:rPr>
        <w:t>（法定代表人姓名）在</w:t>
      </w:r>
      <w:r>
        <w:rPr>
          <w:rFonts w:hint="eastAsia" w:ascii="方正仿宋_GBK"/>
          <w:color w:val="auto"/>
          <w:highlight w:val="none"/>
          <w:u w:val="single"/>
        </w:rPr>
        <w:t xml:space="preserve">                       </w:t>
      </w:r>
      <w:r>
        <w:rPr>
          <w:rFonts w:hint="eastAsia" w:ascii="方正仿宋_GBK"/>
          <w:color w:val="auto"/>
          <w:highlight w:val="none"/>
        </w:rPr>
        <w:t>（供应商名称）任</w:t>
      </w:r>
      <w:r>
        <w:rPr>
          <w:rFonts w:hint="eastAsia" w:ascii="方正仿宋_GBK"/>
          <w:color w:val="auto"/>
          <w:highlight w:val="none"/>
          <w:u w:val="single"/>
        </w:rPr>
        <w:t xml:space="preserve">    </w:t>
      </w:r>
      <w:r>
        <w:rPr>
          <w:rFonts w:hint="eastAsia" w:ascii="方正仿宋_GBK"/>
          <w:color w:val="auto"/>
          <w:highlight w:val="none"/>
        </w:rPr>
        <w:t>（职务名称）职务，是（供应商名称）</w:t>
      </w:r>
      <w:r>
        <w:rPr>
          <w:rFonts w:hint="eastAsia" w:ascii="方正仿宋_GBK"/>
          <w:color w:val="auto"/>
          <w:highlight w:val="none"/>
          <w:u w:val="single"/>
        </w:rPr>
        <w:t xml:space="preserve">              </w:t>
      </w:r>
      <w:r>
        <w:rPr>
          <w:rFonts w:hint="eastAsia" w:ascii="方正仿宋_GBK"/>
          <w:color w:val="auto"/>
          <w:highlight w:val="none"/>
        </w:rPr>
        <w:t>的法定代表人。</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特此证明。</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 xml:space="preserve">                                             供应商：</w:t>
      </w:r>
    </w:p>
    <w:p>
      <w:pPr>
        <w:tabs>
          <w:tab w:val="left" w:pos="6300"/>
        </w:tabs>
        <w:snapToGrid w:val="0"/>
        <w:spacing w:line="500" w:lineRule="exact"/>
        <w:ind w:firstLine="5848" w:firstLineChars="2437"/>
        <w:rPr>
          <w:rFonts w:ascii="方正仿宋_GBK"/>
          <w:color w:val="auto"/>
          <w:highlight w:val="none"/>
        </w:rPr>
      </w:pPr>
      <w:r>
        <w:rPr>
          <w:rFonts w:hint="eastAsia" w:ascii="方正仿宋_GBK"/>
          <w:color w:val="auto"/>
          <w:highlight w:val="none"/>
        </w:rPr>
        <w:t>（供应商公章）</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 xml:space="preserve">                                             年   月   日</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法定代表人电话：XXXXXXX      电子邮箱：XXXXXX@XXXXX（若授权他人办理并签署响应文件的可不填写）</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（附：法定代表人身份证正反面复印件）</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440" w:lineRule="exact"/>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ind w:firstLine="480" w:firstLineChars="200"/>
        <w:rPr>
          <w:rFonts w:ascii="方正仿宋_GBK"/>
          <w:color w:val="auto"/>
          <w:highlight w:val="none"/>
        </w:rPr>
      </w:pPr>
      <w:r>
        <w:rPr>
          <w:rFonts w:hint="eastAsia" w:ascii="方正仿宋_GBK"/>
          <w:color w:val="auto"/>
          <w:kern w:val="0"/>
          <w:highlight w:val="none"/>
        </w:rPr>
        <w:t>（四）</w:t>
      </w:r>
      <w:r>
        <w:rPr>
          <w:rFonts w:hint="eastAsia" w:ascii="方正仿宋_GBK"/>
          <w:color w:val="auto"/>
          <w:szCs w:val="28"/>
          <w:highlight w:val="none"/>
        </w:rPr>
        <w:t>法定代表人授权委托书（格式）</w:t>
      </w:r>
      <w:r>
        <w:rPr>
          <w:rFonts w:hint="eastAsia" w:ascii="方正仿宋_GBK"/>
          <w:color w:val="auto"/>
          <w:highlight w:val="none"/>
        </w:rPr>
        <w:t xml:space="preserve">    </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szCs w:val="28"/>
          <w:highlight w:val="none"/>
        </w:rPr>
        <w:t>项目名称</w:t>
      </w:r>
      <w:r>
        <w:rPr>
          <w:rFonts w:hint="eastAsia" w:ascii="方正仿宋_GBK"/>
          <w:color w:val="auto"/>
          <w:highlight w:val="none"/>
        </w:rPr>
        <w:t>：</w:t>
      </w:r>
      <w:r>
        <w:rPr>
          <w:rFonts w:hint="eastAsia" w:ascii="方正仿宋_GBK"/>
          <w:color w:val="auto"/>
          <w:highlight w:val="none"/>
          <w:u w:val="single"/>
        </w:rPr>
        <w:t xml:space="preserve">                                                </w:t>
      </w:r>
    </w:p>
    <w:p>
      <w:pPr>
        <w:tabs>
          <w:tab w:val="left" w:pos="6300"/>
        </w:tabs>
        <w:snapToGrid w:val="0"/>
        <w:spacing w:line="500" w:lineRule="exact"/>
        <w:rPr>
          <w:rFonts w:ascii="方正仿宋_GBK"/>
          <w:color w:val="auto"/>
          <w:highlight w:val="none"/>
        </w:rPr>
      </w:pPr>
      <w:r>
        <w:rPr>
          <w:rFonts w:hint="eastAsia" w:ascii="方正仿宋_GBK"/>
          <w:color w:val="auto"/>
          <w:szCs w:val="28"/>
          <w:highlight w:val="none"/>
        </w:rPr>
        <w:t>致：重庆市江津区电力建筑安装工程有限责任公司</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highlight w:val="none"/>
          <w:u w:val="single"/>
        </w:rPr>
        <w:t xml:space="preserve">            </w:t>
      </w:r>
      <w:r>
        <w:rPr>
          <w:rFonts w:hint="eastAsia" w:ascii="方正仿宋_GBK"/>
          <w:color w:val="auto"/>
          <w:highlight w:val="none"/>
        </w:rPr>
        <w:t>（供应商法定代表人名称）是</w:t>
      </w:r>
      <w:r>
        <w:rPr>
          <w:rFonts w:hint="eastAsia" w:ascii="方正仿宋_GBK"/>
          <w:color w:val="auto"/>
          <w:highlight w:val="none"/>
          <w:u w:val="single"/>
        </w:rPr>
        <w:t xml:space="preserve">                    </w:t>
      </w:r>
      <w:r>
        <w:rPr>
          <w:rFonts w:hint="eastAsia" w:ascii="方正仿宋_GBK"/>
          <w:color w:val="auto"/>
          <w:highlight w:val="none"/>
        </w:rPr>
        <w:t>（供应商名称）的法定代表人，特授权</w:t>
      </w:r>
      <w:r>
        <w:rPr>
          <w:rFonts w:hint="eastAsia" w:ascii="方正仿宋_GBK"/>
          <w:color w:val="auto"/>
          <w:highlight w:val="none"/>
          <w:u w:val="single"/>
        </w:rPr>
        <w:t xml:space="preserve">          </w:t>
      </w:r>
      <w:r>
        <w:rPr>
          <w:rFonts w:hint="eastAsia" w:ascii="方正仿宋_GBK"/>
          <w:color w:val="auto"/>
          <w:highlight w:val="none"/>
        </w:rPr>
        <w:t>（被授权人姓名及身份证代码）代表我单位全权办理上述项目的磋商、谈判、签约等具体工作，并签署全部有关文件、协议及合同。</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highlight w:val="none"/>
        </w:rPr>
        <w:t>我单位对被授权人的签署负全部责任。</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被授权人：                                 供应商法定代表人：</w:t>
      </w:r>
    </w:p>
    <w:p>
      <w:pPr>
        <w:tabs>
          <w:tab w:val="left" w:pos="6300"/>
        </w:tabs>
        <w:snapToGrid w:val="0"/>
        <w:spacing w:line="500" w:lineRule="exact"/>
        <w:ind w:firstLine="570"/>
        <w:rPr>
          <w:rFonts w:ascii="方正仿宋_GBK"/>
          <w:color w:val="auto"/>
          <w:szCs w:val="28"/>
          <w:highlight w:val="none"/>
        </w:rPr>
      </w:pPr>
      <w:r>
        <w:rPr>
          <w:rFonts w:hint="eastAsia" w:ascii="方正仿宋_GBK"/>
          <w:color w:val="auto"/>
          <w:szCs w:val="28"/>
          <w:highlight w:val="none"/>
        </w:rPr>
        <w:t>（签署或盖章）                                （签署或盖章）</w:t>
      </w:r>
    </w:p>
    <w:p>
      <w:pPr>
        <w:tabs>
          <w:tab w:val="left" w:pos="6300"/>
        </w:tabs>
        <w:snapToGrid w:val="0"/>
        <w:spacing w:line="500" w:lineRule="exact"/>
        <w:ind w:firstLine="570"/>
        <w:rPr>
          <w:rFonts w:ascii="方正仿宋_GBK"/>
          <w:color w:val="auto"/>
          <w:szCs w:val="28"/>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（附：被授权人身份证正反面复印件）</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 xml:space="preserve">                                          </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right="480" w:firstLine="570"/>
        <w:jc w:val="right"/>
        <w:rPr>
          <w:rFonts w:ascii="方正仿宋_GBK"/>
          <w:color w:val="auto"/>
          <w:highlight w:val="none"/>
        </w:rPr>
      </w:pPr>
      <w:r>
        <w:rPr>
          <w:rFonts w:hint="eastAsia" w:ascii="方正仿宋_GBK"/>
          <w:color w:val="auto"/>
          <w:highlight w:val="none"/>
        </w:rPr>
        <w:t>（供应商公章）</w:t>
      </w:r>
    </w:p>
    <w:p>
      <w:pPr>
        <w:tabs>
          <w:tab w:val="left" w:pos="6300"/>
        </w:tabs>
        <w:snapToGrid w:val="0"/>
        <w:spacing w:line="500" w:lineRule="exact"/>
        <w:ind w:right="480" w:firstLine="570"/>
        <w:jc w:val="right"/>
        <w:rPr>
          <w:rFonts w:ascii="方正仿宋_GBK"/>
          <w:color w:val="auto"/>
          <w:highlight w:val="none"/>
        </w:rPr>
      </w:pPr>
      <w:r>
        <w:rPr>
          <w:rFonts w:hint="eastAsia" w:ascii="方正仿宋_GBK"/>
          <w:color w:val="auto"/>
          <w:highlight w:val="none"/>
        </w:rPr>
        <w:t>年   月   日</w:t>
      </w:r>
    </w:p>
    <w:p>
      <w:pPr>
        <w:tabs>
          <w:tab w:val="left" w:pos="6300"/>
        </w:tabs>
        <w:snapToGrid w:val="0"/>
        <w:spacing w:line="500" w:lineRule="exact"/>
        <w:ind w:right="720" w:firstLine="570"/>
        <w:jc w:val="right"/>
        <w:rPr>
          <w:rFonts w:ascii="方正仿宋_GBK"/>
          <w:color w:val="auto"/>
          <w:highlight w:val="none"/>
        </w:rPr>
      </w:pPr>
    </w:p>
    <w:p>
      <w:pPr>
        <w:tabs>
          <w:tab w:val="left" w:pos="6300"/>
        </w:tabs>
        <w:snapToGrid w:val="0"/>
        <w:spacing w:line="500" w:lineRule="exact"/>
        <w:ind w:right="480" w:firstLine="570"/>
        <w:jc w:val="left"/>
        <w:rPr>
          <w:rFonts w:ascii="方正仿宋_GBK"/>
          <w:color w:val="auto"/>
          <w:highlight w:val="none"/>
        </w:rPr>
      </w:pPr>
      <w:r>
        <w:rPr>
          <w:rFonts w:hint="eastAsia" w:ascii="方正仿宋_GBK"/>
          <w:color w:val="auto"/>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color w:val="auto"/>
          <w:highlight w:val="none"/>
        </w:rPr>
      </w:pPr>
      <w:r>
        <w:rPr>
          <w:rFonts w:hint="eastAsia" w:ascii="方正仿宋_GBK"/>
          <w:color w:val="auto"/>
          <w:highlight w:val="none"/>
        </w:rPr>
        <w:t>注：</w:t>
      </w:r>
    </w:p>
    <w:p>
      <w:pPr>
        <w:tabs>
          <w:tab w:val="left" w:pos="6300"/>
        </w:tabs>
        <w:snapToGrid w:val="0"/>
        <w:spacing w:line="500" w:lineRule="exact"/>
        <w:ind w:right="480" w:firstLine="570"/>
        <w:jc w:val="left"/>
        <w:rPr>
          <w:rFonts w:ascii="方正仿宋_GBK"/>
          <w:color w:val="auto"/>
          <w:highlight w:val="none"/>
        </w:rPr>
      </w:pPr>
      <w:r>
        <w:rPr>
          <w:rFonts w:hint="eastAsia" w:ascii="方正仿宋_GBK"/>
          <w:color w:val="auto"/>
          <w:highlight w:val="none"/>
        </w:rPr>
        <w:t>1.若为法定代表人办理并签署响应文件的，不提供此文件。</w:t>
      </w:r>
    </w:p>
    <w:p>
      <w:pPr>
        <w:tabs>
          <w:tab w:val="left" w:pos="6300"/>
        </w:tabs>
        <w:snapToGrid w:val="0"/>
        <w:spacing w:line="312" w:lineRule="auto"/>
        <w:rPr>
          <w:rFonts w:ascii="方正仿宋_GBK"/>
          <w:color w:val="auto"/>
          <w:highlight w:val="none"/>
        </w:rPr>
      </w:pPr>
      <w:r>
        <w:rPr>
          <w:rFonts w:hint="eastAsia" w:ascii="方正仿宋_GBK"/>
          <w:color w:val="auto"/>
          <w:szCs w:val="24"/>
          <w:highlight w:val="none"/>
        </w:rPr>
        <w:br w:type="page"/>
      </w:r>
      <w:r>
        <w:rPr>
          <w:rFonts w:hint="eastAsia" w:ascii="方正仿宋_GBK"/>
          <w:b/>
          <w:color w:val="auto"/>
          <w:w w:val="99"/>
          <w:kern w:val="0"/>
          <w:highlight w:val="none"/>
        </w:rPr>
        <w:t>江津区　　　　　　　　（项目名称）</w:t>
      </w:r>
      <w:bookmarkEnd w:id="280"/>
      <w:r>
        <w:rPr>
          <w:rFonts w:hint="eastAsia" w:ascii="方正仿宋_GBK"/>
          <w:b/>
          <w:color w:val="auto"/>
          <w:w w:val="99"/>
          <w:kern w:val="0"/>
          <w:highlight w:val="none"/>
        </w:rPr>
        <w:t>采购</w:t>
      </w:r>
    </w:p>
    <w:p>
      <w:pPr>
        <w:ind w:firstLine="1320" w:firstLineChars="550"/>
        <w:jc w:val="right"/>
        <w:rPr>
          <w:rFonts w:ascii="方正仿宋_GBK"/>
          <w:color w:val="auto"/>
          <w:highlight w:val="none"/>
        </w:rPr>
      </w:pPr>
      <w:r>
        <w:rPr>
          <w:rFonts w:hint="eastAsia" w:ascii="方正仿宋_GBK"/>
          <w:color w:val="auto"/>
          <w:highlight w:val="none"/>
        </w:rPr>
        <w:t>正本／副本</w:t>
      </w:r>
    </w:p>
    <w:p>
      <w:pPr>
        <w:pStyle w:val="23"/>
        <w:spacing w:line="440" w:lineRule="exact"/>
        <w:ind w:left="2800"/>
        <w:rPr>
          <w:rFonts w:ascii="方正仿宋_GBK" w:eastAsia="方正仿宋_GBK"/>
          <w:color w:val="auto"/>
          <w:sz w:val="28"/>
          <w:highlight w:val="none"/>
        </w:rPr>
      </w:pPr>
    </w:p>
    <w:p>
      <w:pPr>
        <w:pStyle w:val="23"/>
        <w:spacing w:line="440" w:lineRule="exact"/>
        <w:ind w:left="2800" w:firstLine="417" w:firstLineChars="149"/>
        <w:rPr>
          <w:rFonts w:ascii="方正仿宋_GBK" w:eastAsia="方正仿宋_GBK"/>
          <w:color w:val="auto"/>
          <w:sz w:val="28"/>
          <w:highlight w:val="none"/>
        </w:rPr>
      </w:pPr>
    </w:p>
    <w:p>
      <w:pPr>
        <w:tabs>
          <w:tab w:val="left" w:pos="3600"/>
          <w:tab w:val="left" w:pos="4480"/>
          <w:tab w:val="left" w:pos="5360"/>
        </w:tabs>
        <w:autoSpaceDE w:val="0"/>
        <w:autoSpaceDN w:val="0"/>
        <w:adjustRightInd w:val="0"/>
        <w:snapToGrid w:val="0"/>
        <w:spacing w:line="360" w:lineRule="auto"/>
        <w:jc w:val="center"/>
        <w:rPr>
          <w:rFonts w:ascii="方正仿宋_GBK"/>
          <w:b/>
          <w:color w:val="auto"/>
          <w:kern w:val="0"/>
          <w:sz w:val="84"/>
          <w:highlight w:val="none"/>
        </w:rPr>
      </w:pPr>
      <w:r>
        <w:rPr>
          <w:rFonts w:hint="eastAsia" w:ascii="方正仿宋_GBK"/>
          <w:b/>
          <w:color w:val="auto"/>
          <w:kern w:val="0"/>
          <w:sz w:val="84"/>
          <w:highlight w:val="none"/>
        </w:rPr>
        <w:t>响  应  文  件</w:t>
      </w:r>
    </w:p>
    <w:p>
      <w:pPr>
        <w:autoSpaceDE w:val="0"/>
        <w:autoSpaceDN w:val="0"/>
        <w:adjustRightInd w:val="0"/>
        <w:snapToGrid w:val="0"/>
        <w:spacing w:line="360" w:lineRule="auto"/>
        <w:jc w:val="left"/>
        <w:rPr>
          <w:rFonts w:ascii="方正仿宋_GBK"/>
          <w:color w:val="auto"/>
          <w:kern w:val="0"/>
          <w:sz w:val="44"/>
          <w:highlight w:val="none"/>
        </w:rPr>
      </w:pPr>
    </w:p>
    <w:p>
      <w:pPr>
        <w:autoSpaceDE w:val="0"/>
        <w:autoSpaceDN w:val="0"/>
        <w:adjustRightInd w:val="0"/>
        <w:snapToGrid w:val="0"/>
        <w:spacing w:line="360" w:lineRule="auto"/>
        <w:jc w:val="center"/>
        <w:rPr>
          <w:rFonts w:ascii="方正仿宋_GBK"/>
          <w:b/>
          <w:color w:val="auto"/>
          <w:kern w:val="0"/>
          <w:sz w:val="48"/>
          <w:highlight w:val="none"/>
        </w:rPr>
      </w:pPr>
      <w:r>
        <w:rPr>
          <w:rFonts w:hint="eastAsia" w:ascii="方正仿宋_GBK"/>
          <w:b/>
          <w:color w:val="auto"/>
          <w:kern w:val="0"/>
          <w:sz w:val="48"/>
          <w:highlight w:val="none"/>
        </w:rPr>
        <w:t>（技术文件）</w:t>
      </w: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tabs>
          <w:tab w:val="left" w:pos="6080"/>
          <w:tab w:val="left" w:pos="6640"/>
        </w:tabs>
        <w:autoSpaceDE w:val="0"/>
        <w:autoSpaceDN w:val="0"/>
        <w:adjustRightInd w:val="0"/>
        <w:snapToGrid w:val="0"/>
        <w:spacing w:line="360" w:lineRule="auto"/>
        <w:jc w:val="center"/>
        <w:rPr>
          <w:rFonts w:ascii="方正仿宋_GBK"/>
          <w:b/>
          <w:color w:val="auto"/>
          <w:w w:val="99"/>
          <w:kern w:val="0"/>
          <w:highlight w:val="none"/>
        </w:rPr>
      </w:pPr>
      <w:r>
        <w:rPr>
          <w:rFonts w:hint="eastAsia" w:ascii="方正仿宋_GBK"/>
          <w:b/>
          <w:color w:val="auto"/>
          <w:w w:val="99"/>
          <w:kern w:val="0"/>
          <w:highlight w:val="none"/>
        </w:rPr>
        <w:t>供应商</w:t>
      </w:r>
      <w:r>
        <w:rPr>
          <w:rFonts w:hint="eastAsia" w:ascii="方正仿宋_GBK"/>
          <w:b/>
          <w:color w:val="auto"/>
          <w:spacing w:val="1"/>
          <w:w w:val="99"/>
          <w:kern w:val="0"/>
          <w:highlight w:val="none"/>
        </w:rPr>
        <w:t>：</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（盖单位公章）</w:t>
      </w:r>
    </w:p>
    <w:p>
      <w:pPr>
        <w:tabs>
          <w:tab w:val="left" w:pos="6080"/>
          <w:tab w:val="left" w:pos="6640"/>
        </w:tabs>
        <w:autoSpaceDE w:val="0"/>
        <w:autoSpaceDN w:val="0"/>
        <w:adjustRightInd w:val="0"/>
        <w:snapToGrid w:val="0"/>
        <w:spacing w:line="360" w:lineRule="auto"/>
        <w:jc w:val="center"/>
        <w:rPr>
          <w:rFonts w:ascii="方正仿宋_GBK"/>
          <w:b/>
          <w:color w:val="auto"/>
          <w:w w:val="99"/>
          <w:kern w:val="0"/>
          <w:highlight w:val="none"/>
        </w:rPr>
      </w:pPr>
    </w:p>
    <w:p>
      <w:pPr>
        <w:tabs>
          <w:tab w:val="left" w:pos="6080"/>
          <w:tab w:val="left" w:pos="6640"/>
        </w:tabs>
        <w:autoSpaceDE w:val="0"/>
        <w:autoSpaceDN w:val="0"/>
        <w:adjustRightInd w:val="0"/>
        <w:snapToGrid w:val="0"/>
        <w:spacing w:line="360" w:lineRule="auto"/>
        <w:ind w:firstLine="1166" w:firstLineChars="490"/>
        <w:rPr>
          <w:rFonts w:ascii="方正仿宋_GBK"/>
          <w:b/>
          <w:color w:val="auto"/>
          <w:w w:val="99"/>
          <w:kern w:val="0"/>
          <w:highlight w:val="none"/>
        </w:rPr>
      </w:pPr>
      <w:r>
        <w:rPr>
          <w:rFonts w:hint="eastAsia" w:ascii="方正仿宋_GBK"/>
          <w:b/>
          <w:color w:val="auto"/>
          <w:w w:val="99"/>
          <w:kern w:val="0"/>
          <w:highlight w:val="none"/>
        </w:rPr>
        <w:t>法定代表人：</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（签字）</w:t>
      </w:r>
    </w:p>
    <w:p>
      <w:pPr>
        <w:tabs>
          <w:tab w:val="left" w:pos="6080"/>
          <w:tab w:val="left" w:pos="6640"/>
        </w:tabs>
        <w:autoSpaceDE w:val="0"/>
        <w:autoSpaceDN w:val="0"/>
        <w:adjustRightInd w:val="0"/>
        <w:snapToGrid w:val="0"/>
        <w:spacing w:line="360" w:lineRule="auto"/>
        <w:jc w:val="center"/>
        <w:rPr>
          <w:rFonts w:ascii="方正仿宋_GBK"/>
          <w:b/>
          <w:color w:val="auto"/>
          <w:kern w:val="0"/>
          <w:highlight w:val="none"/>
        </w:rPr>
      </w:pPr>
    </w:p>
    <w:p>
      <w:pPr>
        <w:tabs>
          <w:tab w:val="left" w:pos="3280"/>
          <w:tab w:val="left" w:pos="4680"/>
          <w:tab w:val="left" w:pos="6080"/>
        </w:tabs>
        <w:autoSpaceDE w:val="0"/>
        <w:autoSpaceDN w:val="0"/>
        <w:adjustRightInd w:val="0"/>
        <w:snapToGrid w:val="0"/>
        <w:spacing w:line="360" w:lineRule="auto"/>
        <w:jc w:val="center"/>
        <w:rPr>
          <w:rFonts w:ascii="方正仿宋_GBK"/>
          <w:b/>
          <w:color w:val="auto"/>
          <w:kern w:val="0"/>
          <w:highlight w:val="none"/>
        </w:rPr>
      </w:pP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年</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月</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日</w:t>
      </w:r>
    </w:p>
    <w:p>
      <w:pPr>
        <w:spacing w:line="500" w:lineRule="exact"/>
        <w:rPr>
          <w:rFonts w:ascii="方正仿宋_GBK"/>
          <w:b/>
          <w:color w:val="auto"/>
          <w:szCs w:val="28"/>
          <w:highlight w:val="none"/>
        </w:rPr>
      </w:pPr>
    </w:p>
    <w:p>
      <w:pPr>
        <w:spacing w:line="500" w:lineRule="exact"/>
        <w:rPr>
          <w:rFonts w:ascii="方正仿宋_GBK"/>
          <w:b/>
          <w:color w:val="auto"/>
          <w:szCs w:val="28"/>
          <w:highlight w:val="none"/>
        </w:rPr>
      </w:pPr>
    </w:p>
    <w:p>
      <w:pPr>
        <w:tabs>
          <w:tab w:val="left" w:pos="6300"/>
        </w:tabs>
        <w:snapToGrid w:val="0"/>
        <w:spacing w:line="500" w:lineRule="exact"/>
        <w:rPr>
          <w:rFonts w:ascii="方正仿宋_GBK"/>
          <w:color w:val="auto"/>
          <w:szCs w:val="24"/>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r>
        <w:rPr>
          <w:rFonts w:hint="eastAsia"/>
          <w:color w:val="auto"/>
          <w:highlight w:val="none"/>
        </w:rPr>
        <w:t>技术部分格式自拟。</w:t>
      </w:r>
    </w:p>
    <w:p>
      <w:pPr>
        <w:keepNext/>
        <w:pageBreakBefore/>
        <w:tabs>
          <w:tab w:val="left" w:pos="1695"/>
          <w:tab w:val="left" w:pos="3370"/>
          <w:tab w:val="left" w:pos="5555"/>
        </w:tabs>
        <w:autoSpaceDE w:val="0"/>
        <w:autoSpaceDN w:val="0"/>
        <w:adjustRightInd w:val="0"/>
        <w:snapToGrid w:val="0"/>
        <w:spacing w:line="360" w:lineRule="auto"/>
        <w:rPr>
          <w:rFonts w:ascii="方正仿宋_GBK"/>
          <w:b/>
          <w:color w:val="auto"/>
          <w:kern w:val="0"/>
          <w:highlight w:val="none"/>
        </w:rPr>
      </w:pPr>
      <w:r>
        <w:rPr>
          <w:rFonts w:hint="eastAsia" w:ascii="方正仿宋_GBK"/>
          <w:b/>
          <w:color w:val="auto"/>
          <w:w w:val="99"/>
          <w:kern w:val="0"/>
          <w:highlight w:val="none"/>
        </w:rPr>
        <w:t>江津区　　　　　　　　（项目名称）采购</w:t>
      </w:r>
    </w:p>
    <w:p>
      <w:pPr>
        <w:ind w:firstLine="1320" w:firstLineChars="550"/>
        <w:jc w:val="right"/>
        <w:rPr>
          <w:rFonts w:ascii="方正仿宋_GBK"/>
          <w:color w:val="auto"/>
          <w:highlight w:val="none"/>
        </w:rPr>
      </w:pPr>
      <w:r>
        <w:rPr>
          <w:rFonts w:hint="eastAsia" w:ascii="方正仿宋_GBK"/>
          <w:color w:val="auto"/>
          <w:highlight w:val="none"/>
        </w:rPr>
        <w:t>正本／副本</w:t>
      </w:r>
    </w:p>
    <w:p>
      <w:pPr>
        <w:pStyle w:val="23"/>
        <w:spacing w:line="440" w:lineRule="exact"/>
        <w:ind w:left="2800"/>
        <w:rPr>
          <w:rFonts w:ascii="方正仿宋_GBK" w:eastAsia="方正仿宋_GBK"/>
          <w:color w:val="auto"/>
          <w:sz w:val="28"/>
          <w:highlight w:val="none"/>
        </w:rPr>
      </w:pPr>
    </w:p>
    <w:p>
      <w:pPr>
        <w:pStyle w:val="23"/>
        <w:spacing w:line="440" w:lineRule="exact"/>
        <w:ind w:left="2800" w:firstLine="417" w:firstLineChars="149"/>
        <w:rPr>
          <w:rFonts w:ascii="方正仿宋_GBK" w:eastAsia="方正仿宋_GBK"/>
          <w:color w:val="auto"/>
          <w:sz w:val="28"/>
          <w:highlight w:val="none"/>
        </w:rPr>
      </w:pPr>
    </w:p>
    <w:p>
      <w:pPr>
        <w:tabs>
          <w:tab w:val="left" w:pos="3600"/>
          <w:tab w:val="left" w:pos="4480"/>
          <w:tab w:val="left" w:pos="5360"/>
        </w:tabs>
        <w:autoSpaceDE w:val="0"/>
        <w:autoSpaceDN w:val="0"/>
        <w:adjustRightInd w:val="0"/>
        <w:snapToGrid w:val="0"/>
        <w:spacing w:line="360" w:lineRule="auto"/>
        <w:jc w:val="center"/>
        <w:rPr>
          <w:rFonts w:ascii="方正仿宋_GBK"/>
          <w:b/>
          <w:color w:val="auto"/>
          <w:kern w:val="0"/>
          <w:sz w:val="84"/>
          <w:highlight w:val="none"/>
        </w:rPr>
      </w:pPr>
      <w:r>
        <w:rPr>
          <w:rFonts w:hint="eastAsia" w:ascii="方正仿宋_GBK"/>
          <w:b/>
          <w:color w:val="auto"/>
          <w:kern w:val="0"/>
          <w:sz w:val="84"/>
          <w:highlight w:val="none"/>
        </w:rPr>
        <w:t>响  应  文  件</w:t>
      </w:r>
    </w:p>
    <w:p>
      <w:pPr>
        <w:autoSpaceDE w:val="0"/>
        <w:autoSpaceDN w:val="0"/>
        <w:adjustRightInd w:val="0"/>
        <w:snapToGrid w:val="0"/>
        <w:spacing w:line="360" w:lineRule="auto"/>
        <w:jc w:val="left"/>
        <w:rPr>
          <w:rFonts w:ascii="方正仿宋_GBK"/>
          <w:color w:val="auto"/>
          <w:kern w:val="0"/>
          <w:sz w:val="44"/>
          <w:highlight w:val="none"/>
        </w:rPr>
      </w:pPr>
    </w:p>
    <w:p>
      <w:pPr>
        <w:autoSpaceDE w:val="0"/>
        <w:autoSpaceDN w:val="0"/>
        <w:adjustRightInd w:val="0"/>
        <w:snapToGrid w:val="0"/>
        <w:spacing w:line="360" w:lineRule="auto"/>
        <w:jc w:val="center"/>
        <w:rPr>
          <w:rFonts w:ascii="方正仿宋_GBK"/>
          <w:b/>
          <w:color w:val="auto"/>
          <w:kern w:val="0"/>
          <w:sz w:val="48"/>
          <w:highlight w:val="none"/>
        </w:rPr>
      </w:pPr>
      <w:r>
        <w:rPr>
          <w:rFonts w:hint="eastAsia" w:ascii="方正仿宋_GBK"/>
          <w:b/>
          <w:color w:val="auto"/>
          <w:kern w:val="0"/>
          <w:sz w:val="48"/>
          <w:highlight w:val="none"/>
        </w:rPr>
        <w:t>（商务文件）</w:t>
      </w: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tabs>
          <w:tab w:val="left" w:pos="6080"/>
          <w:tab w:val="left" w:pos="6640"/>
        </w:tabs>
        <w:autoSpaceDE w:val="0"/>
        <w:autoSpaceDN w:val="0"/>
        <w:adjustRightInd w:val="0"/>
        <w:snapToGrid w:val="0"/>
        <w:spacing w:line="360" w:lineRule="auto"/>
        <w:jc w:val="center"/>
        <w:rPr>
          <w:rFonts w:ascii="方正仿宋_GBK"/>
          <w:b/>
          <w:color w:val="auto"/>
          <w:w w:val="99"/>
          <w:kern w:val="0"/>
          <w:highlight w:val="none"/>
        </w:rPr>
      </w:pPr>
      <w:r>
        <w:rPr>
          <w:rFonts w:hint="eastAsia" w:ascii="方正仿宋_GBK"/>
          <w:b/>
          <w:color w:val="auto"/>
          <w:w w:val="99"/>
          <w:kern w:val="0"/>
          <w:highlight w:val="none"/>
        </w:rPr>
        <w:t>供应商</w:t>
      </w:r>
      <w:r>
        <w:rPr>
          <w:rFonts w:hint="eastAsia" w:ascii="方正仿宋_GBK"/>
          <w:b/>
          <w:color w:val="auto"/>
          <w:spacing w:val="1"/>
          <w:w w:val="99"/>
          <w:kern w:val="0"/>
          <w:highlight w:val="none"/>
        </w:rPr>
        <w:t>：</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（盖单位公章）</w:t>
      </w:r>
    </w:p>
    <w:p>
      <w:pPr>
        <w:tabs>
          <w:tab w:val="left" w:pos="6080"/>
          <w:tab w:val="left" w:pos="6640"/>
        </w:tabs>
        <w:autoSpaceDE w:val="0"/>
        <w:autoSpaceDN w:val="0"/>
        <w:adjustRightInd w:val="0"/>
        <w:snapToGrid w:val="0"/>
        <w:spacing w:line="360" w:lineRule="auto"/>
        <w:jc w:val="center"/>
        <w:rPr>
          <w:rFonts w:ascii="方正仿宋_GBK"/>
          <w:b/>
          <w:color w:val="auto"/>
          <w:w w:val="99"/>
          <w:kern w:val="0"/>
          <w:highlight w:val="none"/>
        </w:rPr>
      </w:pPr>
    </w:p>
    <w:p>
      <w:pPr>
        <w:tabs>
          <w:tab w:val="left" w:pos="6080"/>
          <w:tab w:val="left" w:pos="6640"/>
        </w:tabs>
        <w:autoSpaceDE w:val="0"/>
        <w:autoSpaceDN w:val="0"/>
        <w:adjustRightInd w:val="0"/>
        <w:snapToGrid w:val="0"/>
        <w:spacing w:line="360" w:lineRule="auto"/>
        <w:ind w:firstLine="1166" w:firstLineChars="490"/>
        <w:rPr>
          <w:rFonts w:ascii="方正仿宋_GBK"/>
          <w:b/>
          <w:color w:val="auto"/>
          <w:w w:val="99"/>
          <w:kern w:val="0"/>
          <w:highlight w:val="none"/>
        </w:rPr>
      </w:pPr>
      <w:r>
        <w:rPr>
          <w:rFonts w:hint="eastAsia" w:ascii="方正仿宋_GBK"/>
          <w:b/>
          <w:color w:val="auto"/>
          <w:w w:val="99"/>
          <w:kern w:val="0"/>
          <w:highlight w:val="none"/>
        </w:rPr>
        <w:t>法定代表人：</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（签字）</w:t>
      </w:r>
    </w:p>
    <w:p>
      <w:pPr>
        <w:tabs>
          <w:tab w:val="left" w:pos="6080"/>
          <w:tab w:val="left" w:pos="6640"/>
        </w:tabs>
        <w:autoSpaceDE w:val="0"/>
        <w:autoSpaceDN w:val="0"/>
        <w:adjustRightInd w:val="0"/>
        <w:snapToGrid w:val="0"/>
        <w:spacing w:line="360" w:lineRule="auto"/>
        <w:jc w:val="center"/>
        <w:rPr>
          <w:rFonts w:ascii="方正仿宋_GBK"/>
          <w:b/>
          <w:color w:val="auto"/>
          <w:kern w:val="0"/>
          <w:highlight w:val="none"/>
        </w:rPr>
      </w:pPr>
    </w:p>
    <w:p>
      <w:pPr>
        <w:tabs>
          <w:tab w:val="left" w:pos="3280"/>
          <w:tab w:val="left" w:pos="4680"/>
          <w:tab w:val="left" w:pos="6080"/>
        </w:tabs>
        <w:autoSpaceDE w:val="0"/>
        <w:autoSpaceDN w:val="0"/>
        <w:adjustRightInd w:val="0"/>
        <w:snapToGrid w:val="0"/>
        <w:spacing w:line="360" w:lineRule="auto"/>
        <w:jc w:val="center"/>
        <w:rPr>
          <w:rFonts w:ascii="方正仿宋_GBK"/>
          <w:b/>
          <w:color w:val="auto"/>
          <w:kern w:val="0"/>
          <w:highlight w:val="none"/>
        </w:rPr>
      </w:pP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年</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月</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日</w:t>
      </w:r>
    </w:p>
    <w:p>
      <w:pPr>
        <w:spacing w:line="500" w:lineRule="exact"/>
        <w:rPr>
          <w:rFonts w:ascii="方正仿宋_GBK"/>
          <w:b/>
          <w:color w:val="auto"/>
          <w:szCs w:val="28"/>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ind w:firstLine="480" w:firstLineChars="200"/>
        <w:rPr>
          <w:rFonts w:ascii="方正仿宋_GBK"/>
          <w:color w:val="auto"/>
          <w:szCs w:val="28"/>
          <w:highlight w:val="none"/>
        </w:rPr>
      </w:pPr>
      <w:r>
        <w:rPr>
          <w:rFonts w:hint="eastAsia" w:ascii="方正仿宋_GBK"/>
          <w:color w:val="auto"/>
          <w:kern w:val="0"/>
          <w:highlight w:val="none"/>
        </w:rPr>
        <w:t>（一）</w:t>
      </w:r>
      <w:r>
        <w:rPr>
          <w:rFonts w:hint="eastAsia" w:ascii="方正仿宋_GBK"/>
          <w:color w:val="auto"/>
          <w:szCs w:val="28"/>
          <w:highlight w:val="none"/>
        </w:rPr>
        <w:t>法定代表人身份证明书（格式）</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项目名称：</w:t>
      </w:r>
      <w:r>
        <w:rPr>
          <w:rFonts w:hint="eastAsia" w:ascii="方正仿宋_GBK"/>
          <w:color w:val="auto"/>
          <w:highlight w:val="none"/>
          <w:u w:val="single"/>
        </w:rPr>
        <w:t xml:space="preserve">                                                </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rPr>
          <w:rFonts w:ascii="方正仿宋_GBK"/>
          <w:color w:val="auto"/>
          <w:highlight w:val="none"/>
        </w:rPr>
      </w:pPr>
      <w:r>
        <w:rPr>
          <w:rFonts w:hint="eastAsia" w:ascii="方正仿宋_GBK"/>
          <w:color w:val="auto"/>
          <w:highlight w:val="none"/>
        </w:rPr>
        <w:t>致：重庆市江津区电力建筑安装工程有限责任公司</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u w:val="single"/>
        </w:rPr>
        <w:t xml:space="preserve">        </w:t>
      </w:r>
      <w:r>
        <w:rPr>
          <w:rFonts w:hint="eastAsia" w:ascii="方正仿宋_GBK"/>
          <w:color w:val="auto"/>
          <w:highlight w:val="none"/>
        </w:rPr>
        <w:t>（法定代表人姓名）在</w:t>
      </w:r>
      <w:r>
        <w:rPr>
          <w:rFonts w:hint="eastAsia" w:ascii="方正仿宋_GBK"/>
          <w:color w:val="auto"/>
          <w:highlight w:val="none"/>
          <w:u w:val="single"/>
        </w:rPr>
        <w:t xml:space="preserve">                       </w:t>
      </w:r>
      <w:r>
        <w:rPr>
          <w:rFonts w:hint="eastAsia" w:ascii="方正仿宋_GBK"/>
          <w:color w:val="auto"/>
          <w:highlight w:val="none"/>
        </w:rPr>
        <w:t>（供应商名称）任</w:t>
      </w:r>
      <w:r>
        <w:rPr>
          <w:rFonts w:hint="eastAsia" w:ascii="方正仿宋_GBK"/>
          <w:color w:val="auto"/>
          <w:highlight w:val="none"/>
          <w:u w:val="single"/>
        </w:rPr>
        <w:t xml:space="preserve">    </w:t>
      </w:r>
      <w:r>
        <w:rPr>
          <w:rFonts w:hint="eastAsia" w:ascii="方正仿宋_GBK"/>
          <w:color w:val="auto"/>
          <w:highlight w:val="none"/>
        </w:rPr>
        <w:t>（职务名称）职务，是（供应商名称）</w:t>
      </w:r>
      <w:r>
        <w:rPr>
          <w:rFonts w:hint="eastAsia" w:ascii="方正仿宋_GBK"/>
          <w:color w:val="auto"/>
          <w:highlight w:val="none"/>
          <w:u w:val="single"/>
        </w:rPr>
        <w:t xml:space="preserve">              </w:t>
      </w:r>
      <w:r>
        <w:rPr>
          <w:rFonts w:hint="eastAsia" w:ascii="方正仿宋_GBK"/>
          <w:color w:val="auto"/>
          <w:highlight w:val="none"/>
        </w:rPr>
        <w:t>的法定代表人。</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特此证明。</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 xml:space="preserve">                                             供应商：</w:t>
      </w:r>
    </w:p>
    <w:p>
      <w:pPr>
        <w:tabs>
          <w:tab w:val="left" w:pos="6300"/>
        </w:tabs>
        <w:snapToGrid w:val="0"/>
        <w:spacing w:line="500" w:lineRule="exact"/>
        <w:ind w:firstLine="5848" w:firstLineChars="2437"/>
        <w:rPr>
          <w:rFonts w:ascii="方正仿宋_GBK"/>
          <w:color w:val="auto"/>
          <w:highlight w:val="none"/>
        </w:rPr>
      </w:pPr>
      <w:r>
        <w:rPr>
          <w:rFonts w:hint="eastAsia" w:ascii="方正仿宋_GBK"/>
          <w:color w:val="auto"/>
          <w:highlight w:val="none"/>
        </w:rPr>
        <w:t>（供应商公章）</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 xml:space="preserve">                                             年   月   日</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法定代表人电话：XXXXXXX      电子邮箱：XXXXXX@XXXXX（若授权他人办理并签署响应文件的可不填写）</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（附：法定代表人身份证正反面复印件）</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440" w:lineRule="exact"/>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ind w:firstLine="480" w:firstLineChars="200"/>
        <w:rPr>
          <w:rFonts w:ascii="方正仿宋_GBK"/>
          <w:color w:val="auto"/>
          <w:highlight w:val="none"/>
        </w:rPr>
      </w:pPr>
      <w:r>
        <w:rPr>
          <w:rFonts w:hint="eastAsia" w:ascii="方正仿宋_GBK"/>
          <w:color w:val="auto"/>
          <w:kern w:val="0"/>
          <w:highlight w:val="none"/>
        </w:rPr>
        <w:t>（二）</w:t>
      </w:r>
      <w:r>
        <w:rPr>
          <w:rFonts w:hint="eastAsia" w:ascii="方正仿宋_GBK"/>
          <w:color w:val="auto"/>
          <w:szCs w:val="28"/>
          <w:highlight w:val="none"/>
        </w:rPr>
        <w:t>法定代表人授权委托书（格式）</w:t>
      </w:r>
      <w:r>
        <w:rPr>
          <w:rFonts w:hint="eastAsia" w:ascii="方正仿宋_GBK"/>
          <w:color w:val="auto"/>
          <w:highlight w:val="none"/>
        </w:rPr>
        <w:t xml:space="preserve">    </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szCs w:val="28"/>
          <w:highlight w:val="none"/>
        </w:rPr>
        <w:t>项目名称</w:t>
      </w:r>
      <w:r>
        <w:rPr>
          <w:rFonts w:hint="eastAsia" w:ascii="方正仿宋_GBK"/>
          <w:color w:val="auto"/>
          <w:highlight w:val="none"/>
        </w:rPr>
        <w:t>：</w:t>
      </w:r>
      <w:r>
        <w:rPr>
          <w:rFonts w:hint="eastAsia" w:ascii="方正仿宋_GBK"/>
          <w:color w:val="auto"/>
          <w:highlight w:val="none"/>
          <w:u w:val="single"/>
        </w:rPr>
        <w:t xml:space="preserve">                                                </w:t>
      </w:r>
    </w:p>
    <w:p>
      <w:pPr>
        <w:tabs>
          <w:tab w:val="left" w:pos="6300"/>
        </w:tabs>
        <w:snapToGrid w:val="0"/>
        <w:spacing w:line="500" w:lineRule="exact"/>
        <w:rPr>
          <w:rFonts w:ascii="方正仿宋_GBK"/>
          <w:color w:val="auto"/>
          <w:highlight w:val="none"/>
        </w:rPr>
      </w:pPr>
      <w:r>
        <w:rPr>
          <w:rFonts w:hint="eastAsia" w:ascii="方正仿宋_GBK"/>
          <w:color w:val="auto"/>
          <w:szCs w:val="28"/>
          <w:highlight w:val="none"/>
        </w:rPr>
        <w:t>致：重庆市江津区电力建筑安装工程有限责任公司</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highlight w:val="none"/>
          <w:u w:val="single"/>
        </w:rPr>
        <w:t xml:space="preserve">            </w:t>
      </w:r>
      <w:r>
        <w:rPr>
          <w:rFonts w:hint="eastAsia" w:ascii="方正仿宋_GBK"/>
          <w:color w:val="auto"/>
          <w:highlight w:val="none"/>
        </w:rPr>
        <w:t>（供应商法定代表人名称）是</w:t>
      </w:r>
      <w:r>
        <w:rPr>
          <w:rFonts w:hint="eastAsia" w:ascii="方正仿宋_GBK"/>
          <w:color w:val="auto"/>
          <w:highlight w:val="none"/>
          <w:u w:val="single"/>
        </w:rPr>
        <w:t xml:space="preserve">                    </w:t>
      </w:r>
      <w:r>
        <w:rPr>
          <w:rFonts w:hint="eastAsia" w:ascii="方正仿宋_GBK"/>
          <w:color w:val="auto"/>
          <w:highlight w:val="none"/>
        </w:rPr>
        <w:t>（供应商名称）的法定代表人，特授权</w:t>
      </w:r>
      <w:r>
        <w:rPr>
          <w:rFonts w:hint="eastAsia" w:ascii="方正仿宋_GBK"/>
          <w:color w:val="auto"/>
          <w:highlight w:val="none"/>
          <w:u w:val="single"/>
        </w:rPr>
        <w:t xml:space="preserve">          </w:t>
      </w:r>
      <w:r>
        <w:rPr>
          <w:rFonts w:hint="eastAsia" w:ascii="方正仿宋_GBK"/>
          <w:color w:val="auto"/>
          <w:highlight w:val="none"/>
        </w:rPr>
        <w:t>（被授权人姓名及身份证代码）代表我单位全权办理上述项目的磋商、谈判、签约等具体工作，并签署全部有关文件、协议及合同。</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highlight w:val="none"/>
        </w:rPr>
        <w:t>我单位对被授权人的签署负全部责任。</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被授权人：                                 供应商法定代表人：</w:t>
      </w:r>
    </w:p>
    <w:p>
      <w:pPr>
        <w:tabs>
          <w:tab w:val="left" w:pos="6300"/>
        </w:tabs>
        <w:snapToGrid w:val="0"/>
        <w:spacing w:line="500" w:lineRule="exact"/>
        <w:ind w:firstLine="570"/>
        <w:rPr>
          <w:rFonts w:ascii="方正仿宋_GBK"/>
          <w:color w:val="auto"/>
          <w:szCs w:val="28"/>
          <w:highlight w:val="none"/>
        </w:rPr>
      </w:pPr>
      <w:r>
        <w:rPr>
          <w:rFonts w:hint="eastAsia" w:ascii="方正仿宋_GBK"/>
          <w:color w:val="auto"/>
          <w:szCs w:val="28"/>
          <w:highlight w:val="none"/>
        </w:rPr>
        <w:t>（签署或盖章）                                （签署或盖章）</w:t>
      </w:r>
    </w:p>
    <w:p>
      <w:pPr>
        <w:tabs>
          <w:tab w:val="left" w:pos="6300"/>
        </w:tabs>
        <w:snapToGrid w:val="0"/>
        <w:spacing w:line="500" w:lineRule="exact"/>
        <w:ind w:firstLine="570"/>
        <w:rPr>
          <w:rFonts w:ascii="方正仿宋_GBK"/>
          <w:color w:val="auto"/>
          <w:szCs w:val="28"/>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（附：被授权人身份证正反面复印件）</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 xml:space="preserve">                                          </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right="480" w:firstLine="570"/>
        <w:jc w:val="right"/>
        <w:rPr>
          <w:rFonts w:ascii="方正仿宋_GBK"/>
          <w:color w:val="auto"/>
          <w:highlight w:val="none"/>
        </w:rPr>
      </w:pPr>
      <w:r>
        <w:rPr>
          <w:rFonts w:hint="eastAsia" w:ascii="方正仿宋_GBK"/>
          <w:color w:val="auto"/>
          <w:highlight w:val="none"/>
        </w:rPr>
        <w:t>（供应商公章）</w:t>
      </w:r>
    </w:p>
    <w:p>
      <w:pPr>
        <w:tabs>
          <w:tab w:val="left" w:pos="6300"/>
        </w:tabs>
        <w:snapToGrid w:val="0"/>
        <w:spacing w:line="500" w:lineRule="exact"/>
        <w:ind w:right="480" w:firstLine="570"/>
        <w:jc w:val="right"/>
        <w:rPr>
          <w:rFonts w:ascii="方正仿宋_GBK"/>
          <w:color w:val="auto"/>
          <w:highlight w:val="none"/>
        </w:rPr>
      </w:pPr>
      <w:r>
        <w:rPr>
          <w:rFonts w:hint="eastAsia" w:ascii="方正仿宋_GBK"/>
          <w:color w:val="auto"/>
          <w:highlight w:val="none"/>
        </w:rPr>
        <w:t>年   月   日</w:t>
      </w:r>
    </w:p>
    <w:p>
      <w:pPr>
        <w:tabs>
          <w:tab w:val="left" w:pos="6300"/>
        </w:tabs>
        <w:snapToGrid w:val="0"/>
        <w:spacing w:line="500" w:lineRule="exact"/>
        <w:ind w:right="720" w:firstLine="570"/>
        <w:jc w:val="right"/>
        <w:rPr>
          <w:rFonts w:ascii="方正仿宋_GBK"/>
          <w:color w:val="auto"/>
          <w:highlight w:val="none"/>
        </w:rPr>
      </w:pPr>
    </w:p>
    <w:p>
      <w:pPr>
        <w:tabs>
          <w:tab w:val="left" w:pos="6300"/>
        </w:tabs>
        <w:snapToGrid w:val="0"/>
        <w:spacing w:line="500" w:lineRule="exact"/>
        <w:ind w:right="480" w:firstLine="570"/>
        <w:jc w:val="left"/>
        <w:rPr>
          <w:rFonts w:ascii="方正仿宋_GBK"/>
          <w:color w:val="auto"/>
          <w:highlight w:val="none"/>
        </w:rPr>
      </w:pPr>
      <w:r>
        <w:rPr>
          <w:rFonts w:hint="eastAsia" w:ascii="方正仿宋_GBK"/>
          <w:color w:val="auto"/>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color w:val="auto"/>
          <w:highlight w:val="none"/>
        </w:rPr>
      </w:pPr>
      <w:r>
        <w:rPr>
          <w:rFonts w:hint="eastAsia" w:ascii="方正仿宋_GBK"/>
          <w:color w:val="auto"/>
          <w:highlight w:val="none"/>
        </w:rPr>
        <w:t>注：</w:t>
      </w:r>
    </w:p>
    <w:p>
      <w:pPr>
        <w:tabs>
          <w:tab w:val="left" w:pos="6300"/>
        </w:tabs>
        <w:snapToGrid w:val="0"/>
        <w:spacing w:line="500" w:lineRule="exact"/>
        <w:ind w:right="480" w:firstLine="570"/>
        <w:jc w:val="left"/>
        <w:rPr>
          <w:rFonts w:ascii="方正仿宋_GBK"/>
          <w:color w:val="auto"/>
          <w:highlight w:val="none"/>
        </w:rPr>
      </w:pPr>
      <w:r>
        <w:rPr>
          <w:rFonts w:hint="eastAsia" w:ascii="方正仿宋_GBK"/>
          <w:color w:val="auto"/>
          <w:highlight w:val="none"/>
        </w:rPr>
        <w:t>1.若为法定代表人办理并签署响应文件的，不提供此文件。</w:t>
      </w:r>
    </w:p>
    <w:p>
      <w:pPr>
        <w:rPr>
          <w:color w:val="auto"/>
          <w:highlight w:val="none"/>
        </w:rPr>
      </w:pPr>
      <w:r>
        <w:rPr>
          <w:rFonts w:hint="eastAsia" w:ascii="方正仿宋_GBK"/>
          <w:color w:val="auto"/>
          <w:highlight w:val="none"/>
        </w:rPr>
        <w:br w:type="column"/>
      </w:r>
      <w:r>
        <w:rPr>
          <w:color w:val="auto"/>
          <w:highlight w:val="none"/>
        </w:rPr>
        <w:t>（</w:t>
      </w:r>
      <w:r>
        <w:rPr>
          <w:rFonts w:hint="eastAsia"/>
          <w:color w:val="auto"/>
          <w:highlight w:val="none"/>
        </w:rPr>
        <w:t>三</w:t>
      </w:r>
      <w:r>
        <w:rPr>
          <w:color w:val="auto"/>
          <w:highlight w:val="none"/>
        </w:rPr>
        <w:t>）营业执照副本复印件</w:t>
      </w:r>
    </w:p>
    <w:p>
      <w:pPr>
        <w:rPr>
          <w:color w:val="auto"/>
          <w:highlight w:val="none"/>
        </w:rPr>
      </w:pPr>
    </w:p>
    <w:p>
      <w:pPr>
        <w:rPr>
          <w:color w:val="auto"/>
          <w:highlight w:val="none"/>
        </w:rPr>
      </w:pPr>
      <w:r>
        <w:rPr>
          <w:color w:val="auto"/>
          <w:highlight w:val="none"/>
        </w:rPr>
        <w:t>（</w:t>
      </w:r>
      <w:r>
        <w:rPr>
          <w:rFonts w:hint="eastAsia"/>
          <w:color w:val="auto"/>
          <w:highlight w:val="none"/>
        </w:rPr>
        <w:t>四</w:t>
      </w:r>
      <w:r>
        <w:rPr>
          <w:color w:val="auto"/>
          <w:highlight w:val="none"/>
        </w:rPr>
        <w:t>）税务登记证副本复印件</w:t>
      </w:r>
    </w:p>
    <w:p>
      <w:pPr>
        <w:rPr>
          <w:color w:val="auto"/>
          <w:highlight w:val="none"/>
        </w:rPr>
      </w:pPr>
    </w:p>
    <w:p>
      <w:pPr>
        <w:rPr>
          <w:color w:val="auto"/>
          <w:highlight w:val="none"/>
        </w:rPr>
      </w:pPr>
      <w:r>
        <w:rPr>
          <w:color w:val="auto"/>
          <w:highlight w:val="none"/>
        </w:rPr>
        <w:t>（</w:t>
      </w:r>
      <w:r>
        <w:rPr>
          <w:rFonts w:hint="eastAsia"/>
          <w:color w:val="auto"/>
          <w:highlight w:val="none"/>
        </w:rPr>
        <w:t>五</w:t>
      </w:r>
      <w:r>
        <w:rPr>
          <w:color w:val="auto"/>
          <w:highlight w:val="none"/>
        </w:rPr>
        <w:t>）组织机构代码证复印件</w:t>
      </w:r>
    </w:p>
    <w:p>
      <w:pPr>
        <w:rPr>
          <w:color w:val="auto"/>
          <w:highlight w:val="none"/>
        </w:rPr>
      </w:pPr>
    </w:p>
    <w:p>
      <w:pPr>
        <w:rPr>
          <w:color w:val="auto"/>
          <w:highlight w:val="none"/>
        </w:rPr>
      </w:pPr>
      <w:r>
        <w:rPr>
          <w:color w:val="auto"/>
          <w:highlight w:val="none"/>
        </w:rPr>
        <w:t>（</w:t>
      </w:r>
      <w:r>
        <w:rPr>
          <w:rFonts w:hint="eastAsia"/>
          <w:color w:val="auto"/>
          <w:highlight w:val="none"/>
        </w:rPr>
        <w:t>六</w:t>
      </w:r>
      <w:r>
        <w:rPr>
          <w:color w:val="auto"/>
          <w:highlight w:val="none"/>
        </w:rPr>
        <w:t>）</w:t>
      </w:r>
      <w:r>
        <w:rPr>
          <w:rFonts w:hint="eastAsia"/>
          <w:color w:val="auto"/>
          <w:highlight w:val="none"/>
          <w:lang w:eastAsia="zh-CN"/>
        </w:rPr>
        <w:t>投标保证金</w:t>
      </w:r>
      <w:r>
        <w:rPr>
          <w:color w:val="auto"/>
          <w:highlight w:val="none"/>
        </w:rPr>
        <w:t>缴纳证明材料或</w:t>
      </w:r>
      <w:r>
        <w:rPr>
          <w:rFonts w:hint="eastAsia"/>
          <w:color w:val="auto"/>
          <w:highlight w:val="none"/>
        </w:rPr>
        <w:t>磋商</w:t>
      </w:r>
      <w:r>
        <w:rPr>
          <w:color w:val="auto"/>
          <w:highlight w:val="none"/>
        </w:rPr>
        <w:t>保函正本复印件</w:t>
      </w:r>
    </w:p>
    <w:p>
      <w:pPr>
        <w:rPr>
          <w:color w:val="auto"/>
          <w:highlight w:val="none"/>
        </w:rPr>
      </w:pPr>
      <w:r>
        <w:rPr>
          <w:color w:val="auto"/>
          <w:highlight w:val="none"/>
        </w:rPr>
        <w:t>和《开户许可证》或《基本存款账户信息》复印件</w:t>
      </w:r>
    </w:p>
    <w:p>
      <w:pPr>
        <w:rPr>
          <w:color w:val="auto"/>
          <w:highlight w:val="none"/>
        </w:rPr>
      </w:pPr>
    </w:p>
    <w:p>
      <w:pPr>
        <w:rPr>
          <w:color w:val="auto"/>
          <w:highlight w:val="none"/>
        </w:rPr>
      </w:pPr>
      <w:r>
        <w:rPr>
          <w:color w:val="auto"/>
          <w:highlight w:val="none"/>
        </w:rPr>
        <w:t>（</w:t>
      </w:r>
      <w:r>
        <w:rPr>
          <w:rFonts w:hint="eastAsia"/>
          <w:color w:val="auto"/>
          <w:highlight w:val="none"/>
        </w:rPr>
        <w:t>七</w:t>
      </w:r>
      <w:r>
        <w:rPr>
          <w:color w:val="auto"/>
          <w:highlight w:val="none"/>
        </w:rPr>
        <w:t>）企业诚信声明（格式）</w:t>
      </w:r>
    </w:p>
    <w:p>
      <w:pPr>
        <w:rPr>
          <w:color w:val="auto"/>
          <w:highlight w:val="none"/>
        </w:rPr>
      </w:pPr>
    </w:p>
    <w:p>
      <w:pPr>
        <w:tabs>
          <w:tab w:val="left" w:pos="6300"/>
        </w:tabs>
        <w:snapToGrid w:val="0"/>
        <w:rPr>
          <w:rFonts w:ascii="方正仿宋_GBK"/>
          <w:color w:val="auto"/>
          <w:kern w:val="0"/>
          <w:highlight w:val="none"/>
        </w:rPr>
      </w:pPr>
      <w:r>
        <w:rPr>
          <w:rFonts w:hint="eastAsia" w:ascii="方正仿宋_GBK"/>
          <w:color w:val="auto"/>
          <w:kern w:val="0"/>
          <w:highlight w:val="none"/>
        </w:rPr>
        <w:t>致：重庆市江津区电力建筑安装工程有限责任公司</w:t>
      </w:r>
    </w:p>
    <w:p>
      <w:pPr>
        <w:tabs>
          <w:tab w:val="left" w:pos="6300"/>
        </w:tabs>
        <w:snapToGrid w:val="0"/>
        <w:ind w:firstLine="600" w:firstLineChars="250"/>
        <w:rPr>
          <w:rFonts w:ascii="方正仿宋_GBK"/>
          <w:color w:val="auto"/>
          <w:kern w:val="0"/>
          <w:highlight w:val="none"/>
        </w:rPr>
      </w:pPr>
      <w:r>
        <w:rPr>
          <w:rFonts w:hint="eastAsia" w:ascii="方正仿宋_GBK"/>
          <w:color w:val="auto"/>
          <w:kern w:val="0"/>
          <w:highlight w:val="none"/>
          <w:u w:val="single"/>
        </w:rPr>
        <w:t xml:space="preserve">            </w:t>
      </w:r>
      <w:r>
        <w:rPr>
          <w:rFonts w:hint="eastAsia" w:ascii="方正仿宋_GBK"/>
          <w:color w:val="auto"/>
          <w:kern w:val="0"/>
          <w:highlight w:val="none"/>
        </w:rPr>
        <w:t>（供应商名称）郑重声明：</w:t>
      </w:r>
      <w:r>
        <w:rPr>
          <w:rFonts w:hint="eastAsia" w:ascii="方正仿宋_GBK" w:cs="宋体"/>
          <w:bCs/>
          <w:color w:val="auto"/>
          <w:highlight w:val="none"/>
        </w:rPr>
        <w:t>我方</w:t>
      </w:r>
      <w:r>
        <w:rPr>
          <w:rFonts w:hint="eastAsia" w:ascii="方正仿宋_GBK"/>
          <w:color w:val="auto"/>
          <w:kern w:val="0"/>
          <w:highlight w:val="none"/>
        </w:rPr>
        <w:t>具有良好的商业信誉和健全的财务会计制度，具有履行合同所必须的设备和专业技术能力，依法缴纳税收和社会保障金，我方参加</w:t>
      </w:r>
      <w:r>
        <w:rPr>
          <w:rFonts w:hint="eastAsia" w:ascii="方正仿宋_GBK"/>
          <w:color w:val="auto"/>
          <w:sz w:val="30"/>
          <w:szCs w:val="30"/>
          <w:highlight w:val="none"/>
          <w:u w:val="single"/>
        </w:rPr>
        <w:t xml:space="preserve">                </w:t>
      </w:r>
      <w:r>
        <w:rPr>
          <w:rFonts w:hint="eastAsia" w:ascii="方正仿宋_GBK"/>
          <w:color w:val="auto"/>
          <w:kern w:val="0"/>
          <w:highlight w:val="none"/>
        </w:rPr>
        <w:t>项目采购项目活动前三年内无重大违法活动记录，符合本次采购规定的供应商基本资格条件。我方对此声明的真实性负全部法律责任。</w:t>
      </w:r>
    </w:p>
    <w:p>
      <w:pPr>
        <w:tabs>
          <w:tab w:val="left" w:pos="6300"/>
        </w:tabs>
        <w:snapToGrid w:val="0"/>
        <w:ind w:firstLine="480" w:firstLineChars="200"/>
        <w:rPr>
          <w:rFonts w:ascii="方正仿宋_GBK"/>
          <w:kern w:val="0"/>
        </w:rPr>
      </w:pPr>
      <w:r>
        <w:rPr>
          <w:rFonts w:hint="eastAsia" w:ascii="方正仿宋_GBK"/>
          <w:kern w:val="0"/>
        </w:rPr>
        <w:t xml:space="preserve">    特此声明。</w:t>
      </w:r>
    </w:p>
    <w:p>
      <w:pPr>
        <w:tabs>
          <w:tab w:val="left" w:pos="6300"/>
        </w:tabs>
        <w:snapToGrid w:val="0"/>
        <w:rPr>
          <w:rFonts w:ascii="方正仿宋_GBK"/>
          <w:kern w:val="0"/>
        </w:rPr>
      </w:pPr>
    </w:p>
    <w:p>
      <w:pPr>
        <w:tabs>
          <w:tab w:val="left" w:pos="6300"/>
        </w:tabs>
        <w:snapToGrid w:val="0"/>
        <w:jc w:val="right"/>
        <w:rPr>
          <w:rFonts w:ascii="方正仿宋_GBK"/>
          <w:kern w:val="0"/>
        </w:rPr>
      </w:pPr>
      <w:r>
        <w:rPr>
          <w:rFonts w:hint="eastAsia" w:ascii="方正仿宋_GBK"/>
          <w:kern w:val="0"/>
        </w:rPr>
        <w:t xml:space="preserve"> 供应商： </w:t>
      </w:r>
      <w:r>
        <w:rPr>
          <w:rFonts w:hint="eastAsia" w:ascii="方正仿宋_GBK"/>
          <w:kern w:val="0"/>
          <w:u w:val="single"/>
        </w:rPr>
        <w:t xml:space="preserve">                      </w:t>
      </w:r>
      <w:r>
        <w:rPr>
          <w:rFonts w:hint="eastAsia" w:ascii="方正仿宋_GBK"/>
          <w:kern w:val="0"/>
        </w:rPr>
        <w:t xml:space="preserve"> （公章）</w:t>
      </w:r>
    </w:p>
    <w:p>
      <w:pPr>
        <w:tabs>
          <w:tab w:val="left" w:pos="6300"/>
        </w:tabs>
        <w:snapToGrid w:val="0"/>
        <w:ind w:firstLine="5280" w:firstLineChars="2200"/>
        <w:rPr>
          <w:rFonts w:ascii="方正仿宋_GBK"/>
          <w:kern w:val="0"/>
        </w:rPr>
      </w:pPr>
      <w:r>
        <w:rPr>
          <w:rFonts w:hint="eastAsia" w:ascii="方正仿宋_GBK"/>
          <w:kern w:val="0"/>
        </w:rPr>
        <w:t>年   月   日</w:t>
      </w:r>
    </w:p>
    <w:p>
      <w:pPr>
        <w:tabs>
          <w:tab w:val="left" w:pos="6300"/>
        </w:tabs>
        <w:snapToGrid w:val="0"/>
        <w:spacing w:line="440" w:lineRule="exact"/>
        <w:ind w:firstLine="5280" w:firstLineChars="2200"/>
        <w:rPr>
          <w:rFonts w:ascii="方正仿宋_GBK"/>
          <w:kern w:val="0"/>
        </w:rPr>
      </w:pPr>
    </w:p>
    <w:p>
      <w:pPr>
        <w:tabs>
          <w:tab w:val="left" w:pos="6300"/>
        </w:tabs>
        <w:snapToGrid w:val="0"/>
        <w:spacing w:line="440" w:lineRule="exact"/>
        <w:rPr>
          <w:rFonts w:ascii="方正仿宋_GBK"/>
          <w:kern w:val="0"/>
        </w:rPr>
      </w:pPr>
    </w:p>
    <w:p>
      <w:pPr>
        <w:tabs>
          <w:tab w:val="left" w:pos="6300"/>
        </w:tabs>
        <w:snapToGrid w:val="0"/>
        <w:spacing w:line="440" w:lineRule="exact"/>
        <w:rPr>
          <w:rFonts w:ascii="方正仿宋_GBK"/>
          <w:kern w:val="0"/>
        </w:rPr>
      </w:pPr>
    </w:p>
    <w:p>
      <w:pPr>
        <w:tabs>
          <w:tab w:val="left" w:pos="6300"/>
        </w:tabs>
        <w:snapToGrid w:val="0"/>
        <w:spacing w:line="440" w:lineRule="exact"/>
        <w:rPr>
          <w:rFonts w:ascii="方正仿宋_GBK"/>
          <w:kern w:val="0"/>
        </w:rPr>
      </w:pPr>
    </w:p>
    <w:p>
      <w:pPr>
        <w:ind w:firstLine="480" w:firstLineChars="200"/>
      </w:pPr>
      <w:r>
        <w:br w:type="page"/>
      </w:r>
      <w:r>
        <w:t>（</w:t>
      </w:r>
      <w:r>
        <w:rPr>
          <w:rFonts w:hint="eastAsia"/>
        </w:rPr>
        <w:t>八</w:t>
      </w:r>
      <w:r>
        <w:t>）特定资格条件证书或文件复印件</w:t>
      </w:r>
    </w:p>
    <w:p>
      <w:pPr>
        <w:ind w:firstLine="480" w:firstLineChars="200"/>
        <w:rPr>
          <w:rFonts w:ascii="方正仿宋_GBK"/>
          <w:kern w:val="0"/>
        </w:rPr>
      </w:pPr>
      <w:r>
        <w:rPr>
          <w:rFonts w:hint="eastAsia" w:ascii="方正仿宋_GBK"/>
          <w:kern w:val="0"/>
        </w:rPr>
        <w:t>（九）磋商文件要求和供应商认为应提交的其他内容(如有，格式自定)</w:t>
      </w:r>
    </w:p>
    <w:p/>
    <w:p>
      <w:pPr>
        <w:rPr>
          <w:rFonts w:ascii="方正仿宋_GBK"/>
        </w:rPr>
      </w:pPr>
    </w:p>
    <w:p>
      <w:pPr>
        <w:tabs>
          <w:tab w:val="left" w:pos="3247"/>
        </w:tabs>
        <w:jc w:val="center"/>
        <w:rPr>
          <w:rFonts w:ascii="方正仿宋_GBK"/>
        </w:rPr>
      </w:pPr>
      <w:r>
        <w:rPr>
          <w:rFonts w:hint="eastAsia" w:ascii="方正仿宋_GBK"/>
        </w:rPr>
        <w:t>（结束）</w:t>
      </w:r>
    </w:p>
    <w:p/>
    <w:sectPr>
      <w:footerReference r:id="rId16" w:type="default"/>
      <w:pgSz w:w="11906" w:h="16838"/>
      <w:pgMar w:top="1440" w:right="1800" w:bottom="1440" w:left="1800" w:header="851" w:footer="992" w:gutter="0"/>
      <w:pgNumType w:start="1"/>
      <w:cols w:space="720" w:num="1"/>
      <w:docGrid w:type="lines"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黑体_GBK">
    <w:altName w:val="黑体"/>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rPr>
    </w:pPr>
    <w:r>
      <w:rPr>
        <w:sz w:val="24"/>
      </w:rPr>
      <w:fldChar w:fldCharType="begin"/>
    </w:r>
    <w:r>
      <w:rPr>
        <w:rStyle w:val="62"/>
        <w:sz w:val="24"/>
      </w:rPr>
      <w:instrText xml:space="preserve"> PAGE </w:instrText>
    </w:r>
    <w:r>
      <w:rPr>
        <w:sz w:val="24"/>
      </w:rPr>
      <w:fldChar w:fldCharType="separate"/>
    </w:r>
    <w:r>
      <w:rPr>
        <w:rStyle w:val="62"/>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2"/>
      </w:rPr>
    </w:pPr>
    <w:r>
      <w:fldChar w:fldCharType="begin"/>
    </w:r>
    <w:r>
      <w:rPr>
        <w:rStyle w:val="62"/>
      </w:rPr>
      <w:instrText xml:space="preserve">PAGE  </w:instrText>
    </w:r>
    <w:r>
      <w:fldChar w:fldCharType="separate"/>
    </w:r>
    <w:r>
      <w:t xml:space="preserve"> </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jc w:val="center"/>
      <w:rPr>
        <w:rStyle w:val="62"/>
        <w:rFonts w:ascii="宋体" w:hAnsi="宋体"/>
        <w:sz w:val="21"/>
        <w:szCs w:val="21"/>
      </w:rPr>
    </w:pPr>
    <w:r>
      <w:rPr>
        <w:rFonts w:hint="eastAsia" w:ascii="宋体" w:hAnsi="宋体"/>
        <w:sz w:val="21"/>
        <w:szCs w:val="21"/>
      </w:rPr>
      <w:fldChar w:fldCharType="begin"/>
    </w:r>
    <w:r>
      <w:rPr>
        <w:rStyle w:val="62"/>
        <w:rFonts w:hint="eastAsia" w:ascii="宋体" w:hAnsi="宋体"/>
        <w:sz w:val="21"/>
        <w:szCs w:val="21"/>
      </w:rPr>
      <w:instrText xml:space="preserve">PAGE  </w:instrText>
    </w:r>
    <w:r>
      <w:rPr>
        <w:rFonts w:hint="eastAsia" w:ascii="宋体" w:hAnsi="宋体"/>
        <w:sz w:val="21"/>
        <w:szCs w:val="21"/>
      </w:rPr>
      <w:fldChar w:fldCharType="separate"/>
    </w:r>
    <w:r>
      <w:rPr>
        <w:rStyle w:val="62"/>
        <w:rFonts w:ascii="宋体" w:hAnsi="宋体"/>
        <w:sz w:val="21"/>
        <w:szCs w:val="21"/>
      </w:rPr>
      <w:t>- 2 -</w:t>
    </w:r>
    <w:r>
      <w:rPr>
        <w:rFonts w:hint="eastAsia" w:ascii="宋体" w:hAnsi="宋体"/>
        <w:sz w:val="21"/>
        <w:szCs w:val="21"/>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1"/>
        <w:szCs w:val="21"/>
      </w:rPr>
    </w:pPr>
    <w:r>
      <w:rPr>
        <w:rFonts w:hint="eastAsia" w:ascii="宋体" w:hAnsi="宋体"/>
        <w:sz w:val="21"/>
        <w:szCs w:val="21"/>
      </w:rPr>
      <w:fldChar w:fldCharType="begin"/>
    </w:r>
    <w:r>
      <w:rPr>
        <w:rStyle w:val="62"/>
        <w:rFonts w:hint="eastAsia" w:ascii="宋体" w:hAnsi="宋体"/>
        <w:sz w:val="21"/>
        <w:szCs w:val="21"/>
      </w:rPr>
      <w:instrText xml:space="preserve"> PAGE </w:instrText>
    </w:r>
    <w:r>
      <w:rPr>
        <w:rFonts w:hint="eastAsia" w:ascii="宋体" w:hAnsi="宋体"/>
        <w:sz w:val="21"/>
        <w:szCs w:val="21"/>
      </w:rPr>
      <w:fldChar w:fldCharType="separate"/>
    </w:r>
    <w:r>
      <w:rPr>
        <w:rStyle w:val="62"/>
        <w:rFonts w:ascii="宋体" w:hAnsi="宋体"/>
        <w:sz w:val="21"/>
        <w:szCs w:val="21"/>
      </w:rPr>
      <w:t>- 5 -</w:t>
    </w:r>
    <w:r>
      <w:rPr>
        <w:rFonts w:hint="eastAsia"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2"/>
      </w:rPr>
    </w:pPr>
    <w:r>
      <w:fldChar w:fldCharType="begin"/>
    </w:r>
    <w:r>
      <w:rPr>
        <w:rStyle w:val="62"/>
      </w:rPr>
      <w:instrText xml:space="preserve">PAGE  </w:instrText>
    </w:r>
    <w:r>
      <w:fldChar w:fldCharType="separate"/>
    </w:r>
    <w:r>
      <w:t xml:space="preserve"> </w:t>
    </w:r>
    <w:r>
      <w:fldChar w:fldCharType="end"/>
    </w:r>
  </w:p>
  <w:p>
    <w:pPr>
      <w:pStyle w:val="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1"/>
        <w:szCs w:val="21"/>
      </w:rPr>
    </w:pPr>
    <w:r>
      <w:rPr>
        <w:rFonts w:hint="eastAsia" w:ascii="宋体" w:hAnsi="宋体"/>
        <w:sz w:val="21"/>
        <w:szCs w:val="21"/>
      </w:rPr>
      <w:fldChar w:fldCharType="begin"/>
    </w:r>
    <w:r>
      <w:rPr>
        <w:rStyle w:val="62"/>
        <w:rFonts w:hint="eastAsia" w:ascii="宋体" w:hAnsi="宋体"/>
        <w:sz w:val="21"/>
        <w:szCs w:val="21"/>
      </w:rPr>
      <w:instrText xml:space="preserve"> PAGE </w:instrText>
    </w:r>
    <w:r>
      <w:rPr>
        <w:rFonts w:hint="eastAsia" w:ascii="宋体" w:hAnsi="宋体"/>
        <w:sz w:val="21"/>
        <w:szCs w:val="21"/>
      </w:rPr>
      <w:fldChar w:fldCharType="separate"/>
    </w:r>
    <w:r>
      <w:rPr>
        <w:rStyle w:val="62"/>
        <w:rFonts w:ascii="宋体" w:hAnsi="宋体"/>
        <w:sz w:val="21"/>
        <w:szCs w:val="21"/>
      </w:rPr>
      <w:t>- 12 -</w:t>
    </w:r>
    <w:r>
      <w:rPr>
        <w:rFonts w:hint="eastAsia"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2"/>
      </w:rPr>
    </w:pPr>
    <w:r>
      <w:fldChar w:fldCharType="begin"/>
    </w:r>
    <w:r>
      <w:rPr>
        <w:rStyle w:val="62"/>
      </w:rPr>
      <w:instrText xml:space="preserve">PAGE  </w:instrText>
    </w:r>
    <w:r>
      <w:fldChar w:fldCharType="separate"/>
    </w:r>
    <w:r>
      <w:t xml:space="preserve"> </w:t>
    </w:r>
    <w:r>
      <w:fldChar w:fldCharType="end"/>
    </w:r>
  </w:p>
  <w:p>
    <w:pPr>
      <w:pStyle w:val="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2400" cy="197485"/>
              <wp:effectExtent l="0" t="0" r="0" b="0"/>
              <wp:wrapNone/>
              <wp:docPr id="3" name="文本框 1"/>
              <wp:cNvGraphicFramePr/>
              <a:graphic xmlns:a="http://schemas.openxmlformats.org/drawingml/2006/main">
                <a:graphicData uri="http://schemas.microsoft.com/office/word/2010/wordprocessingShape">
                  <wps:wsp>
                    <wps:cNvSpPr txBox="1"/>
                    <wps:spPr>
                      <a:xfrm>
                        <a:off x="0" y="0"/>
                        <a:ext cx="152400" cy="197485"/>
                      </a:xfrm>
                      <a:prstGeom prst="rect">
                        <a:avLst/>
                      </a:prstGeom>
                      <a:noFill/>
                      <a:ln>
                        <a:noFill/>
                      </a:ln>
                    </wps:spPr>
                    <wps:txbx>
                      <w:txbxContent>
                        <w:p>
                          <w:pPr>
                            <w:snapToGrid w:val="0"/>
                            <w:rPr>
                              <w:rFonts w:ascii="宋体" w:hAnsi="宋体" w:cs="宋体"/>
                              <w:szCs w:val="24"/>
                            </w:rPr>
                          </w:pPr>
                          <w:r>
                            <w:rPr>
                              <w:rFonts w:hint="eastAsia" w:ascii="宋体" w:hAnsi="宋体" w:cs="宋体"/>
                              <w:szCs w:val="24"/>
                            </w:rPr>
                            <w:fldChar w:fldCharType="begin"/>
                          </w:r>
                          <w:r>
                            <w:rPr>
                              <w:rFonts w:hint="eastAsia" w:ascii="宋体" w:hAnsi="宋体" w:cs="宋体"/>
                              <w:szCs w:val="24"/>
                            </w:rPr>
                            <w:instrText xml:space="preserve"> PAGE  \* MERGEFORMAT </w:instrText>
                          </w:r>
                          <w:r>
                            <w:rPr>
                              <w:rFonts w:hint="eastAsia" w:ascii="宋体" w:hAnsi="宋体" w:cs="宋体"/>
                              <w:szCs w:val="24"/>
                            </w:rPr>
                            <w:fldChar w:fldCharType="separate"/>
                          </w:r>
                          <w:r>
                            <w:rPr>
                              <w:rFonts w:ascii="宋体" w:hAnsi="宋体" w:cs="宋体"/>
                              <w:szCs w:val="24"/>
                            </w:rPr>
                            <w:t>11</w:t>
                          </w:r>
                          <w:r>
                            <w:rPr>
                              <w:rFonts w:hint="eastAsia" w:ascii="宋体" w:hAnsi="宋体" w:cs="宋体"/>
                              <w:szCs w:val="24"/>
                            </w:rPr>
                            <w:fldChar w:fldCharType="end"/>
                          </w:r>
                        </w:p>
                      </w:txbxContent>
                    </wps:txbx>
                    <wps:bodyPr lIns="0" tIns="0" rIns="0" bIns="0" upright="1"/>
                  </wps:wsp>
                </a:graphicData>
              </a:graphic>
            </wp:anchor>
          </w:drawing>
        </mc:Choice>
        <mc:Fallback>
          <w:pict>
            <v:shape id="文本框 1" o:spid="_x0000_s1026" o:spt="202" type="#_x0000_t202" style="position:absolute;left:0pt;margin-top:0pt;height:15.55pt;width:12pt;mso-position-horizontal:center;mso-position-horizontal-relative:margin;z-index:251659264;mso-width-relative:page;mso-height-relative:page;" filled="f" stroked="f" coordsize="21600,21600" o:gfxdata="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TUFE/0wAAAAMBAAAPAAAAAAAAAAEAIAAAACIAAABkcnMvZG93bnJldi54bWxQSwECFAAUAAAA&#10;CACHTuJANZWzW7oBAABxAwAADgAAAAAAAAABACAAAAAiAQAAZHJzL2Uyb0RvYy54bWxQSwUGAAAA&#10;AAYABgBZAQAATgUAAAAA&#10;">
              <v:fill on="f" focussize="0,0"/>
              <v:stroke on="f"/>
              <v:imagedata o:title=""/>
              <o:lock v:ext="edit" aspectratio="f"/>
              <v:textbox inset="0mm,0mm,0mm,0mm">
                <w:txbxContent>
                  <w:p>
                    <w:pPr>
                      <w:snapToGrid w:val="0"/>
                      <w:rPr>
                        <w:rFonts w:ascii="宋体" w:hAnsi="宋体" w:cs="宋体"/>
                        <w:szCs w:val="24"/>
                      </w:rPr>
                    </w:pPr>
                    <w:r>
                      <w:rPr>
                        <w:rFonts w:hint="eastAsia" w:ascii="宋体" w:hAnsi="宋体" w:cs="宋体"/>
                        <w:szCs w:val="24"/>
                      </w:rPr>
                      <w:fldChar w:fldCharType="begin"/>
                    </w:r>
                    <w:r>
                      <w:rPr>
                        <w:rFonts w:hint="eastAsia" w:ascii="宋体" w:hAnsi="宋体" w:cs="宋体"/>
                        <w:szCs w:val="24"/>
                      </w:rPr>
                      <w:instrText xml:space="preserve"> PAGE  \* MERGEFORMAT </w:instrText>
                    </w:r>
                    <w:r>
                      <w:rPr>
                        <w:rFonts w:hint="eastAsia" w:ascii="宋体" w:hAnsi="宋体" w:cs="宋体"/>
                        <w:szCs w:val="24"/>
                      </w:rPr>
                      <w:fldChar w:fldCharType="separate"/>
                    </w:r>
                    <w:r>
                      <w:rPr>
                        <w:rFonts w:ascii="宋体" w:hAnsi="宋体" w:cs="宋体"/>
                        <w:szCs w:val="24"/>
                      </w:rPr>
                      <w:t>11</w:t>
                    </w:r>
                    <w:r>
                      <w:rPr>
                        <w:rFonts w:hint="eastAsia" w:ascii="宋体" w:hAnsi="宋体" w:cs="宋体"/>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4" w:space="1"/>
      </w:pBdr>
      <w:jc w:val="both"/>
      <w:rPr>
        <w:rFonts w:ascii="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方正仿宋_GBK"/>
        <w:sz w:val="21"/>
        <w:szCs w:val="21"/>
      </w:rPr>
    </w:pPr>
    <w:r>
      <w:rPr>
        <w:rFonts w:hint="eastAsia" w:ascii="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B1DA9"/>
    <w:multiLevelType w:val="singleLevel"/>
    <w:tmpl w:val="842B1DA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ZmYyOWY3NWFjMTQzNmQ4YzhlY2Q0YjgwNDI3ZGYifQ=="/>
  </w:docVars>
  <w:rsids>
    <w:rsidRoot w:val="00B70B96"/>
    <w:rsid w:val="00262A6C"/>
    <w:rsid w:val="00301C37"/>
    <w:rsid w:val="00575BC0"/>
    <w:rsid w:val="00685681"/>
    <w:rsid w:val="006B3E6C"/>
    <w:rsid w:val="0071190A"/>
    <w:rsid w:val="0072010E"/>
    <w:rsid w:val="00795235"/>
    <w:rsid w:val="007A6EFD"/>
    <w:rsid w:val="00816051"/>
    <w:rsid w:val="00884B9B"/>
    <w:rsid w:val="008F5013"/>
    <w:rsid w:val="00B34A67"/>
    <w:rsid w:val="00B70B96"/>
    <w:rsid w:val="00BC3104"/>
    <w:rsid w:val="00BC631B"/>
    <w:rsid w:val="00C17C13"/>
    <w:rsid w:val="00CE55A1"/>
    <w:rsid w:val="00E0287B"/>
    <w:rsid w:val="00E51B32"/>
    <w:rsid w:val="00E56A76"/>
    <w:rsid w:val="00EA058C"/>
    <w:rsid w:val="00F463C9"/>
    <w:rsid w:val="00F5712D"/>
    <w:rsid w:val="00F86C2B"/>
    <w:rsid w:val="031F3187"/>
    <w:rsid w:val="061B09E7"/>
    <w:rsid w:val="064918B1"/>
    <w:rsid w:val="07DB0C2F"/>
    <w:rsid w:val="08071A24"/>
    <w:rsid w:val="0AEC6CAF"/>
    <w:rsid w:val="10246669"/>
    <w:rsid w:val="17A77C05"/>
    <w:rsid w:val="24311EAA"/>
    <w:rsid w:val="263D4BD0"/>
    <w:rsid w:val="2EA25753"/>
    <w:rsid w:val="2F9037FD"/>
    <w:rsid w:val="32DD144F"/>
    <w:rsid w:val="358F4C83"/>
    <w:rsid w:val="367125DA"/>
    <w:rsid w:val="38C2711D"/>
    <w:rsid w:val="3BE178BA"/>
    <w:rsid w:val="3F95733A"/>
    <w:rsid w:val="437B440D"/>
    <w:rsid w:val="47E81FD1"/>
    <w:rsid w:val="4B5A31E5"/>
    <w:rsid w:val="4F4838F8"/>
    <w:rsid w:val="53616ECC"/>
    <w:rsid w:val="551045B4"/>
    <w:rsid w:val="563B37B5"/>
    <w:rsid w:val="5BB3407A"/>
    <w:rsid w:val="6837248C"/>
    <w:rsid w:val="718D5813"/>
    <w:rsid w:val="74890514"/>
    <w:rsid w:val="7513602F"/>
    <w:rsid w:val="7820118F"/>
    <w:rsid w:val="7A063294"/>
    <w:rsid w:val="7F4F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方正仿宋_GBK" w:cs="Times New Roman"/>
      <w:kern w:val="2"/>
      <w:sz w:val="24"/>
      <w:szCs w:val="20"/>
      <w:lang w:val="en-US" w:eastAsia="zh-CN" w:bidi="ar-SA"/>
    </w:rPr>
  </w:style>
  <w:style w:type="paragraph" w:styleId="3">
    <w:name w:val="heading 1"/>
    <w:basedOn w:val="1"/>
    <w:next w:val="1"/>
    <w:link w:val="68"/>
    <w:qFormat/>
    <w:uiPriority w:val="0"/>
    <w:pPr>
      <w:keepNext/>
      <w:keepLines/>
      <w:spacing w:before="260" w:after="260" w:line="360" w:lineRule="auto"/>
      <w:jc w:val="center"/>
      <w:outlineLvl w:val="0"/>
    </w:pPr>
    <w:rPr>
      <w:b/>
      <w:kern w:val="44"/>
      <w:sz w:val="36"/>
      <w:szCs w:val="22"/>
    </w:rPr>
  </w:style>
  <w:style w:type="paragraph" w:styleId="4">
    <w:name w:val="heading 2"/>
    <w:basedOn w:val="1"/>
    <w:next w:val="1"/>
    <w:link w:val="69"/>
    <w:qFormat/>
    <w:uiPriority w:val="0"/>
    <w:pPr>
      <w:keepNext/>
      <w:keepLines/>
      <w:ind w:firstLine="200" w:firstLineChars="200"/>
      <w:outlineLvl w:val="1"/>
    </w:pPr>
    <w:rPr>
      <w:rFonts w:ascii="Arial" w:hAnsi="Arial"/>
      <w:b/>
    </w:rPr>
  </w:style>
  <w:style w:type="paragraph" w:styleId="5">
    <w:name w:val="heading 3"/>
    <w:basedOn w:val="1"/>
    <w:next w:val="1"/>
    <w:link w:val="70"/>
    <w:qFormat/>
    <w:uiPriority w:val="0"/>
    <w:pPr>
      <w:keepNext/>
      <w:keepLines/>
      <w:spacing w:before="260" w:after="260" w:line="412" w:lineRule="auto"/>
      <w:outlineLvl w:val="2"/>
    </w:pPr>
    <w:rPr>
      <w:b/>
      <w:sz w:val="32"/>
    </w:rPr>
  </w:style>
  <w:style w:type="paragraph" w:styleId="6">
    <w:name w:val="heading 4"/>
    <w:basedOn w:val="1"/>
    <w:next w:val="1"/>
    <w:link w:val="71"/>
    <w:qFormat/>
    <w:uiPriority w:val="0"/>
    <w:pPr>
      <w:keepNext/>
      <w:keepLines/>
      <w:spacing w:before="280" w:after="290" w:line="372" w:lineRule="auto"/>
      <w:outlineLvl w:val="3"/>
    </w:pPr>
    <w:rPr>
      <w:rFonts w:ascii="Arial" w:hAnsi="Arial" w:eastAsia="黑体"/>
      <w:b/>
    </w:rPr>
  </w:style>
  <w:style w:type="paragraph" w:styleId="7">
    <w:name w:val="heading 5"/>
    <w:basedOn w:val="1"/>
    <w:next w:val="1"/>
    <w:link w:val="72"/>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link w:val="73"/>
    <w:qFormat/>
    <w:uiPriority w:val="0"/>
    <w:pPr>
      <w:keepNext/>
      <w:keepLines/>
      <w:tabs>
        <w:tab w:val="left" w:pos="1152"/>
      </w:tabs>
      <w:adjustRightInd w:val="0"/>
      <w:snapToGrid w:val="0"/>
      <w:spacing w:before="240" w:after="64" w:line="316" w:lineRule="auto"/>
      <w:ind w:left="1152" w:hanging="1152"/>
      <w:outlineLvl w:val="5"/>
    </w:pPr>
    <w:rPr>
      <w:rFonts w:ascii="Arial" w:hAnsi="Arial" w:eastAsia="黑体"/>
      <w:b/>
    </w:rPr>
  </w:style>
  <w:style w:type="paragraph" w:styleId="9">
    <w:name w:val="heading 7"/>
    <w:basedOn w:val="1"/>
    <w:next w:val="1"/>
    <w:link w:val="74"/>
    <w:qFormat/>
    <w:uiPriority w:val="0"/>
    <w:pPr>
      <w:keepNext/>
      <w:keepLines/>
      <w:tabs>
        <w:tab w:val="left" w:pos="1296"/>
      </w:tabs>
      <w:adjustRightInd w:val="0"/>
      <w:snapToGrid w:val="0"/>
      <w:spacing w:before="240" w:after="64" w:line="316" w:lineRule="auto"/>
      <w:ind w:left="1296" w:hanging="1296"/>
      <w:outlineLvl w:val="6"/>
    </w:pPr>
    <w:rPr>
      <w:rFonts w:ascii="Arial" w:hAnsi="Arial" w:eastAsia="黑体"/>
      <w:b/>
    </w:rPr>
  </w:style>
  <w:style w:type="paragraph" w:styleId="10">
    <w:name w:val="heading 8"/>
    <w:basedOn w:val="1"/>
    <w:next w:val="1"/>
    <w:link w:val="75"/>
    <w:qFormat/>
    <w:uiPriority w:val="0"/>
    <w:pPr>
      <w:keepNext/>
      <w:keepLines/>
      <w:tabs>
        <w:tab w:val="left" w:pos="1440"/>
      </w:tabs>
      <w:adjustRightInd w:val="0"/>
      <w:snapToGrid w:val="0"/>
      <w:spacing w:before="240" w:after="64" w:line="316" w:lineRule="auto"/>
      <w:ind w:left="1440" w:hanging="1440"/>
      <w:outlineLvl w:val="7"/>
    </w:pPr>
    <w:rPr>
      <w:rFonts w:ascii="Arial" w:hAnsi="Arial" w:eastAsia="黑体"/>
      <w:b/>
    </w:rPr>
  </w:style>
  <w:style w:type="paragraph" w:styleId="11">
    <w:name w:val="heading 9"/>
    <w:basedOn w:val="1"/>
    <w:next w:val="1"/>
    <w:link w:val="76"/>
    <w:qFormat/>
    <w:uiPriority w:val="0"/>
    <w:pPr>
      <w:keepNext/>
      <w:keepLines/>
      <w:tabs>
        <w:tab w:val="left" w:pos="1584"/>
      </w:tabs>
      <w:adjustRightInd w:val="0"/>
      <w:snapToGrid w:val="0"/>
      <w:spacing w:before="240" w:after="64" w:line="316" w:lineRule="auto"/>
      <w:ind w:left="1584" w:hanging="1584"/>
      <w:outlineLvl w:val="8"/>
    </w:pPr>
    <w:rPr>
      <w:rFonts w:ascii="Arial" w:hAnsi="Arial" w:eastAsia="黑体"/>
      <w:b/>
    </w:rPr>
  </w:style>
  <w:style w:type="character" w:default="1" w:styleId="60">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6"/>
    <w:qFormat/>
    <w:uiPriority w:val="0"/>
    <w:pPr>
      <w:tabs>
        <w:tab w:val="center" w:pos="4153"/>
        <w:tab w:val="right" w:pos="8306"/>
      </w:tabs>
      <w:snapToGrid w:val="0"/>
      <w:jc w:val="left"/>
    </w:pPr>
    <w:rPr>
      <w:sz w:val="18"/>
    </w:rPr>
  </w:style>
  <w:style w:type="paragraph" w:styleId="12">
    <w:name w:val="List 3"/>
    <w:basedOn w:val="1"/>
    <w:qFormat/>
    <w:uiPriority w:val="0"/>
    <w:pPr>
      <w:adjustRightInd w:val="0"/>
      <w:snapToGrid w:val="0"/>
      <w:spacing w:line="360" w:lineRule="auto"/>
      <w:ind w:left="600" w:leftChars="400" w:hanging="200" w:hangingChars="200"/>
    </w:pPr>
  </w:style>
  <w:style w:type="paragraph" w:styleId="13">
    <w:name w:val="toc 7"/>
    <w:basedOn w:val="1"/>
    <w:next w:val="1"/>
    <w:qFormat/>
    <w:uiPriority w:val="0"/>
    <w:pPr>
      <w:ind w:left="1200" w:leftChars="1200"/>
    </w:pPr>
  </w:style>
  <w:style w:type="paragraph" w:styleId="14">
    <w:name w:val="List Number 2"/>
    <w:basedOn w:val="1"/>
    <w:qFormat/>
    <w:uiPriority w:val="0"/>
    <w:pPr>
      <w:tabs>
        <w:tab w:val="left" w:pos="780"/>
      </w:tabs>
      <w:spacing w:line="360" w:lineRule="auto"/>
      <w:ind w:left="425" w:hanging="425"/>
    </w:p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hAnsi="宋体"/>
      <w:kern w:val="0"/>
      <w:sz w:val="22"/>
    </w:rPr>
  </w:style>
  <w:style w:type="paragraph" w:styleId="16">
    <w:name w:val="Normal Indent"/>
    <w:next w:val="17"/>
    <w:qFormat/>
    <w:uiPriority w:val="0"/>
    <w:pPr>
      <w:widowControl w:val="0"/>
      <w:adjustRightInd w:val="0"/>
      <w:snapToGrid w:val="0"/>
      <w:spacing w:line="360" w:lineRule="auto"/>
      <w:ind w:firstLine="420"/>
      <w:jc w:val="both"/>
    </w:pPr>
    <w:rPr>
      <w:rFonts w:ascii="Times New Roman" w:hAnsi="Times New Roman" w:eastAsia="宋体" w:cs="Times New Roman"/>
      <w:kern w:val="2"/>
      <w:sz w:val="24"/>
      <w:szCs w:val="20"/>
      <w:lang w:val="en-US" w:eastAsia="zh-CN" w:bidi="ar-SA"/>
    </w:rPr>
  </w:style>
  <w:style w:type="paragraph" w:styleId="17">
    <w:name w:val="Body Text 3"/>
    <w:basedOn w:val="1"/>
    <w:link w:val="78"/>
    <w:qFormat/>
    <w:uiPriority w:val="0"/>
    <w:pPr>
      <w:adjustRightInd w:val="0"/>
      <w:snapToGrid w:val="0"/>
      <w:spacing w:after="120" w:line="360" w:lineRule="auto"/>
    </w:pPr>
    <w:rPr>
      <w:sz w:val="16"/>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lang w:eastAsia="zh-TW"/>
    </w:rPr>
  </w:style>
  <w:style w:type="paragraph" w:styleId="19">
    <w:name w:val="Document Map"/>
    <w:basedOn w:val="1"/>
    <w:link w:val="79"/>
    <w:qFormat/>
    <w:uiPriority w:val="0"/>
    <w:pPr>
      <w:shd w:val="clear" w:color="auto" w:fill="000080"/>
    </w:pPr>
  </w:style>
  <w:style w:type="paragraph" w:styleId="20">
    <w:name w:val="toa heading"/>
    <w:basedOn w:val="1"/>
    <w:next w:val="1"/>
    <w:qFormat/>
    <w:uiPriority w:val="0"/>
    <w:pPr>
      <w:spacing w:before="120"/>
    </w:pPr>
    <w:rPr>
      <w:rFonts w:ascii="Arial" w:hAnsi="Arial"/>
    </w:rPr>
  </w:style>
  <w:style w:type="paragraph" w:styleId="21">
    <w:name w:val="annotation text"/>
    <w:link w:val="80"/>
    <w:qFormat/>
    <w:uiPriority w:val="0"/>
    <w:pPr>
      <w:tabs>
        <w:tab w:val="left" w:pos="1134"/>
      </w:tabs>
      <w:adjustRightInd w:val="0"/>
      <w:snapToGrid w:val="0"/>
      <w:spacing w:line="280" w:lineRule="atLeast"/>
    </w:pPr>
    <w:rPr>
      <w:rFonts w:ascii="Times New Roman" w:hAnsi="Times New Roman" w:eastAsia="PMingLiU" w:cs="Times New Roman"/>
      <w:kern w:val="0"/>
      <w:sz w:val="24"/>
      <w:szCs w:val="20"/>
      <w:lang w:val="en-US" w:eastAsia="zh-TW" w:bidi="ar-SA"/>
    </w:rPr>
  </w:style>
  <w:style w:type="paragraph" w:styleId="22">
    <w:name w:val="List Bullet 3"/>
    <w:basedOn w:val="1"/>
    <w:qFormat/>
    <w:uiPriority w:val="0"/>
    <w:pPr>
      <w:tabs>
        <w:tab w:val="left" w:pos="1200"/>
      </w:tabs>
      <w:adjustRightInd w:val="0"/>
      <w:snapToGrid w:val="0"/>
      <w:spacing w:line="360" w:lineRule="auto"/>
      <w:ind w:left="1200" w:hanging="360"/>
    </w:pPr>
  </w:style>
  <w:style w:type="paragraph" w:styleId="23">
    <w:name w:val="Body Text"/>
    <w:basedOn w:val="1"/>
    <w:next w:val="1"/>
    <w:link w:val="77"/>
    <w:qFormat/>
    <w:uiPriority w:val="0"/>
    <w:rPr>
      <w:rFonts w:ascii="仿宋_GB2312" w:eastAsia="仿宋_GB2312"/>
      <w:sz w:val="32"/>
    </w:rPr>
  </w:style>
  <w:style w:type="paragraph" w:styleId="24">
    <w:name w:val="Body Text Indent"/>
    <w:next w:val="25"/>
    <w:link w:val="81"/>
    <w:qFormat/>
    <w:uiPriority w:val="0"/>
    <w:pPr>
      <w:widowControl w:val="0"/>
      <w:spacing w:line="700" w:lineRule="exact"/>
      <w:ind w:left="960"/>
      <w:jc w:val="both"/>
    </w:pPr>
    <w:rPr>
      <w:rFonts w:ascii="Times New Roman" w:hAnsi="Times New Roman" w:eastAsia="宋体" w:cs="Times New Roman"/>
      <w:kern w:val="2"/>
      <w:sz w:val="44"/>
      <w:szCs w:val="20"/>
      <w:lang w:val="en-US" w:eastAsia="zh-CN" w:bidi="ar-SA"/>
    </w:rPr>
  </w:style>
  <w:style w:type="paragraph" w:styleId="25">
    <w:name w:val="List 5"/>
    <w:basedOn w:val="1"/>
    <w:qFormat/>
    <w:uiPriority w:val="0"/>
    <w:pPr>
      <w:adjustRightInd w:val="0"/>
      <w:snapToGrid w:val="0"/>
      <w:spacing w:line="360" w:lineRule="auto"/>
      <w:ind w:left="1000" w:leftChars="800" w:hanging="200" w:hangingChars="200"/>
    </w:pPr>
  </w:style>
  <w:style w:type="paragraph" w:styleId="26">
    <w:name w:val="List Number 3"/>
    <w:basedOn w:val="1"/>
    <w:qFormat/>
    <w:uiPriority w:val="0"/>
    <w:pPr>
      <w:tabs>
        <w:tab w:val="left" w:pos="2120"/>
      </w:tabs>
      <w:adjustRightInd w:val="0"/>
      <w:snapToGrid w:val="0"/>
      <w:spacing w:line="360" w:lineRule="auto"/>
      <w:ind w:left="2120" w:hanging="720"/>
    </w:pPr>
  </w:style>
  <w:style w:type="paragraph" w:styleId="27">
    <w:name w:val="List 2"/>
    <w:basedOn w:val="1"/>
    <w:qFormat/>
    <w:uiPriority w:val="0"/>
    <w:pPr>
      <w:adjustRightInd w:val="0"/>
      <w:snapToGrid w:val="0"/>
      <w:spacing w:line="360" w:lineRule="auto"/>
      <w:ind w:left="400" w:leftChars="200" w:hanging="200" w:hangingChars="200"/>
    </w:pPr>
  </w:style>
  <w:style w:type="paragraph" w:styleId="28">
    <w:name w:val="List Continue"/>
    <w:basedOn w:val="1"/>
    <w:qFormat/>
    <w:uiPriority w:val="0"/>
    <w:pPr>
      <w:adjustRightInd w:val="0"/>
      <w:snapToGrid w:val="0"/>
      <w:spacing w:after="120" w:line="360" w:lineRule="auto"/>
      <w:ind w:left="200" w:leftChars="200"/>
    </w:pPr>
  </w:style>
  <w:style w:type="paragraph" w:styleId="29">
    <w:name w:val="List Bullet 2"/>
    <w:basedOn w:val="1"/>
    <w:qFormat/>
    <w:uiPriority w:val="0"/>
    <w:pPr>
      <w:tabs>
        <w:tab w:val="left" w:pos="780"/>
      </w:tabs>
      <w:adjustRightInd w:val="0"/>
      <w:snapToGrid w:val="0"/>
      <w:spacing w:line="360" w:lineRule="auto"/>
      <w:ind w:left="780" w:hanging="360"/>
    </w:pPr>
  </w:style>
  <w:style w:type="paragraph" w:styleId="30">
    <w:name w:val="toc 5"/>
    <w:basedOn w:val="1"/>
    <w:next w:val="1"/>
    <w:qFormat/>
    <w:uiPriority w:val="0"/>
    <w:pPr>
      <w:ind w:left="800" w:leftChars="800"/>
    </w:pPr>
  </w:style>
  <w:style w:type="paragraph" w:styleId="31">
    <w:name w:val="toc 3"/>
    <w:basedOn w:val="1"/>
    <w:next w:val="1"/>
    <w:qFormat/>
    <w:uiPriority w:val="0"/>
    <w:pPr>
      <w:ind w:left="400" w:leftChars="400"/>
    </w:pPr>
  </w:style>
  <w:style w:type="paragraph" w:styleId="32">
    <w:name w:val="Plain Text"/>
    <w:next w:val="1"/>
    <w:link w:val="82"/>
    <w:qFormat/>
    <w:uiPriority w:val="0"/>
    <w:pPr>
      <w:widowControl w:val="0"/>
      <w:adjustRightInd w:val="0"/>
      <w:snapToGrid w:val="0"/>
      <w:spacing w:line="360" w:lineRule="auto"/>
      <w:jc w:val="both"/>
    </w:pPr>
    <w:rPr>
      <w:rFonts w:ascii="宋体" w:hAnsi="Times New Roman" w:eastAsia="宋体" w:cs="Times New Roman"/>
      <w:kern w:val="2"/>
      <w:sz w:val="21"/>
      <w:szCs w:val="20"/>
      <w:lang w:val="en-US" w:eastAsia="zh-CN" w:bidi="ar-SA"/>
    </w:rPr>
  </w:style>
  <w:style w:type="paragraph" w:styleId="33">
    <w:name w:val="toc 8"/>
    <w:basedOn w:val="1"/>
    <w:next w:val="1"/>
    <w:qFormat/>
    <w:uiPriority w:val="0"/>
    <w:pPr>
      <w:ind w:left="1400" w:leftChars="1400"/>
    </w:pPr>
  </w:style>
  <w:style w:type="paragraph" w:styleId="34">
    <w:name w:val="Date"/>
    <w:basedOn w:val="1"/>
    <w:next w:val="1"/>
    <w:link w:val="83"/>
    <w:qFormat/>
    <w:uiPriority w:val="0"/>
    <w:rPr>
      <w:sz w:val="28"/>
    </w:rPr>
  </w:style>
  <w:style w:type="paragraph" w:styleId="35">
    <w:name w:val="Body Text Indent 2"/>
    <w:next w:val="1"/>
    <w:link w:val="84"/>
    <w:qFormat/>
    <w:uiPriority w:val="0"/>
    <w:pPr>
      <w:widowControl w:val="0"/>
      <w:snapToGrid w:val="0"/>
      <w:spacing w:line="440" w:lineRule="atLeast"/>
      <w:ind w:firstLine="570"/>
      <w:jc w:val="both"/>
    </w:pPr>
    <w:rPr>
      <w:rFonts w:ascii="宋体" w:hAnsi="Times New Roman" w:eastAsia="宋体" w:cs="Times New Roman"/>
      <w:kern w:val="2"/>
      <w:sz w:val="28"/>
      <w:szCs w:val="20"/>
      <w:lang w:val="en-US" w:eastAsia="zh-CN" w:bidi="ar-SA"/>
    </w:rPr>
  </w:style>
  <w:style w:type="paragraph" w:styleId="36">
    <w:name w:val="Balloon Text"/>
    <w:basedOn w:val="1"/>
    <w:link w:val="85"/>
    <w:qFormat/>
    <w:uiPriority w:val="0"/>
    <w:rPr>
      <w:sz w:val="18"/>
    </w:rPr>
  </w:style>
  <w:style w:type="paragraph" w:styleId="37">
    <w:name w:val="header"/>
    <w:basedOn w:val="1"/>
    <w:link w:val="87"/>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800" w:leftChars="800"/>
    </w:pPr>
  </w:style>
  <w:style w:type="paragraph" w:styleId="40">
    <w:name w:val="toc 4"/>
    <w:basedOn w:val="1"/>
    <w:next w:val="1"/>
    <w:qFormat/>
    <w:uiPriority w:val="0"/>
    <w:pPr>
      <w:ind w:left="600" w:leftChars="600"/>
    </w:pPr>
  </w:style>
  <w:style w:type="paragraph" w:styleId="41">
    <w:name w:val="footnote text"/>
    <w:basedOn w:val="1"/>
    <w:link w:val="88"/>
    <w:qFormat/>
    <w:uiPriority w:val="0"/>
    <w:pPr>
      <w:spacing w:line="360" w:lineRule="auto"/>
    </w:pPr>
    <w:rPr>
      <w:sz w:val="18"/>
    </w:rPr>
  </w:style>
  <w:style w:type="paragraph" w:styleId="42">
    <w:name w:val="toc 6"/>
    <w:basedOn w:val="1"/>
    <w:next w:val="1"/>
    <w:qFormat/>
    <w:uiPriority w:val="0"/>
    <w:pPr>
      <w:ind w:left="1000" w:leftChars="1000"/>
    </w:pPr>
  </w:style>
  <w:style w:type="paragraph" w:styleId="43">
    <w:name w:val="Body Text Indent 3"/>
    <w:basedOn w:val="1"/>
    <w:link w:val="89"/>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style>
  <w:style w:type="paragraph" w:styleId="46">
    <w:name w:val="toc 2"/>
    <w:basedOn w:val="1"/>
    <w:next w:val="1"/>
    <w:uiPriority w:val="0"/>
    <w:pPr>
      <w:ind w:left="200" w:leftChars="200"/>
    </w:pPr>
  </w:style>
  <w:style w:type="paragraph" w:styleId="47">
    <w:name w:val="toc 9"/>
    <w:basedOn w:val="1"/>
    <w:next w:val="1"/>
    <w:qFormat/>
    <w:uiPriority w:val="0"/>
    <w:pPr>
      <w:ind w:left="1600" w:leftChars="1600"/>
    </w:pPr>
  </w:style>
  <w:style w:type="paragraph" w:styleId="48">
    <w:name w:val="Body Text 2"/>
    <w:basedOn w:val="1"/>
    <w:link w:val="90"/>
    <w:qFormat/>
    <w:uiPriority w:val="0"/>
    <w:pPr>
      <w:adjustRightInd w:val="0"/>
      <w:snapToGrid w:val="0"/>
      <w:spacing w:after="120" w:line="480" w:lineRule="auto"/>
    </w:pPr>
  </w:style>
  <w:style w:type="paragraph" w:styleId="49">
    <w:name w:val="List 4"/>
    <w:basedOn w:val="1"/>
    <w:qFormat/>
    <w:uiPriority w:val="0"/>
    <w:pPr>
      <w:adjustRightInd w:val="0"/>
      <w:snapToGrid w:val="0"/>
      <w:spacing w:line="360" w:lineRule="auto"/>
      <w:ind w:left="800" w:leftChars="600" w:hanging="200" w:hangingChars="200"/>
    </w:pPr>
  </w:style>
  <w:style w:type="paragraph" w:styleId="50">
    <w:name w:val="List Continue 2"/>
    <w:basedOn w:val="1"/>
    <w:qFormat/>
    <w:uiPriority w:val="0"/>
    <w:pPr>
      <w:adjustRightInd w:val="0"/>
      <w:snapToGrid w:val="0"/>
      <w:spacing w:after="120" w:line="360" w:lineRule="auto"/>
      <w:ind w:left="400" w:leftChars="400"/>
    </w:pPr>
  </w:style>
  <w:style w:type="paragraph" w:styleId="51">
    <w:name w:val="Normal (Web)"/>
    <w:next w:val="1"/>
    <w:qFormat/>
    <w:uiPriority w:val="0"/>
    <w:pPr>
      <w:spacing w:before="100" w:beforeAutospacing="1" w:after="100" w:afterAutospacing="1"/>
    </w:pPr>
    <w:rPr>
      <w:rFonts w:ascii="Arial Unicode MS" w:hAnsi="Times New Roman" w:eastAsia="Arial Unicode MS" w:cs="楷体_GB2312"/>
      <w:kern w:val="0"/>
      <w:sz w:val="24"/>
      <w:szCs w:val="24"/>
      <w:lang w:val="en-US" w:eastAsia="zh-CN" w:bidi="ar-SA"/>
    </w:rPr>
  </w:style>
  <w:style w:type="paragraph" w:styleId="52">
    <w:name w:val="List Continue 3"/>
    <w:basedOn w:val="1"/>
    <w:uiPriority w:val="0"/>
    <w:pPr>
      <w:adjustRightInd w:val="0"/>
      <w:snapToGrid w:val="0"/>
      <w:spacing w:after="120" w:line="360" w:lineRule="auto"/>
      <w:ind w:left="600" w:leftChars="600"/>
    </w:pPr>
  </w:style>
  <w:style w:type="paragraph" w:styleId="53">
    <w:name w:val="index 1"/>
    <w:basedOn w:val="1"/>
    <w:next w:val="1"/>
    <w:qFormat/>
    <w:uiPriority w:val="0"/>
    <w:pPr>
      <w:adjustRightInd w:val="0"/>
      <w:spacing w:line="240" w:lineRule="atLeast"/>
      <w:textAlignment w:val="baseline"/>
    </w:pPr>
    <w:rPr>
      <w:rFonts w:ascii="宋体" w:hAnsi="宋体"/>
      <w:kern w:val="0"/>
      <w:sz w:val="21"/>
    </w:rPr>
  </w:style>
  <w:style w:type="paragraph" w:styleId="54">
    <w:name w:val="Title"/>
    <w:basedOn w:val="55"/>
    <w:next w:val="23"/>
    <w:link w:val="91"/>
    <w:qFormat/>
    <w:uiPriority w:val="0"/>
    <w:pPr>
      <w:widowControl/>
      <w:spacing w:after="240"/>
    </w:pPr>
    <w:rPr>
      <w:rFonts w:ascii="Arial" w:hAnsi="Arial"/>
      <w:smallCaps/>
      <w:kern w:val="28"/>
      <w:sz w:val="36"/>
    </w:rPr>
  </w:style>
  <w:style w:type="paragraph" w:customStyle="1" w:styleId="55">
    <w:name w:val="样式 标题 1 + 居中 段前: 6 磅 段后: 6 磅 行距: 1.5 倍行距"/>
    <w:basedOn w:val="3"/>
    <w:qFormat/>
    <w:uiPriority w:val="0"/>
    <w:pPr>
      <w:adjustRightInd w:val="0"/>
      <w:snapToGrid w:val="0"/>
      <w:spacing w:before="120" w:after="120"/>
    </w:pPr>
    <w:rPr>
      <w:sz w:val="32"/>
    </w:rPr>
  </w:style>
  <w:style w:type="paragraph" w:styleId="56">
    <w:name w:val="annotation subject"/>
    <w:next w:val="21"/>
    <w:link w:val="92"/>
    <w:qFormat/>
    <w:uiPriority w:val="0"/>
    <w:pPr>
      <w:widowControl w:val="0"/>
    </w:pPr>
    <w:rPr>
      <w:rFonts w:ascii="Times New Roman" w:hAnsi="Times New Roman" w:eastAsia="宋体" w:cs="Times New Roman"/>
      <w:b/>
      <w:kern w:val="2"/>
      <w:sz w:val="21"/>
      <w:szCs w:val="20"/>
      <w:lang w:val="en-US" w:eastAsia="zh-CN" w:bidi="ar-SA"/>
    </w:rPr>
  </w:style>
  <w:style w:type="paragraph" w:styleId="57">
    <w:name w:val="Body Text First Indent"/>
    <w:basedOn w:val="23"/>
    <w:link w:val="93"/>
    <w:uiPriority w:val="0"/>
    <w:pPr>
      <w:spacing w:line="360" w:lineRule="auto"/>
      <w:ind w:firstLine="420"/>
    </w:pPr>
    <w:rPr>
      <w:rFonts w:ascii="宋体" w:hAnsi="宋体"/>
      <w:sz w:val="24"/>
    </w:rPr>
  </w:style>
  <w:style w:type="paragraph" w:styleId="58">
    <w:name w:val="Body Text First Indent 2"/>
    <w:basedOn w:val="24"/>
    <w:link w:val="94"/>
    <w:qFormat/>
    <w:uiPriority w:val="0"/>
    <w:pPr>
      <w:spacing w:after="120" w:line="240" w:lineRule="auto"/>
      <w:ind w:left="200" w:leftChars="200" w:firstLine="200" w:firstLineChars="200"/>
    </w:pPr>
  </w:style>
  <w:style w:type="character" w:styleId="61">
    <w:name w:val="Strong"/>
    <w:qFormat/>
    <w:uiPriority w:val="0"/>
    <w:rPr>
      <w:b/>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0"/>
    <w:rPr>
      <w:color w:val="0000FF"/>
      <w:u w:val="single"/>
    </w:rPr>
  </w:style>
  <w:style w:type="character" w:styleId="66">
    <w:name w:val="annotation reference"/>
    <w:uiPriority w:val="0"/>
    <w:rPr>
      <w:sz w:val="21"/>
      <w:szCs w:val="21"/>
    </w:rPr>
  </w:style>
  <w:style w:type="character" w:styleId="67">
    <w:name w:val="footnote reference"/>
    <w:uiPriority w:val="0"/>
    <w:rPr>
      <w:position w:val="6"/>
      <w:sz w:val="14"/>
      <w:vertAlign w:val="superscript"/>
    </w:rPr>
  </w:style>
  <w:style w:type="character" w:customStyle="1" w:styleId="68">
    <w:name w:val="标题 1 Char"/>
    <w:basedOn w:val="60"/>
    <w:link w:val="3"/>
    <w:qFormat/>
    <w:uiPriority w:val="0"/>
    <w:rPr>
      <w:rFonts w:ascii="Times New Roman" w:hAnsi="Times New Roman" w:eastAsia="方正仿宋_GBK" w:cs="Times New Roman"/>
      <w:b/>
      <w:kern w:val="44"/>
      <w:sz w:val="36"/>
    </w:rPr>
  </w:style>
  <w:style w:type="character" w:customStyle="1" w:styleId="69">
    <w:name w:val="标题 2 Char"/>
    <w:basedOn w:val="60"/>
    <w:link w:val="4"/>
    <w:qFormat/>
    <w:uiPriority w:val="0"/>
    <w:rPr>
      <w:rFonts w:ascii="Arial" w:hAnsi="Arial" w:eastAsia="方正仿宋_GBK" w:cs="Times New Roman"/>
      <w:b/>
      <w:sz w:val="24"/>
      <w:szCs w:val="20"/>
    </w:rPr>
  </w:style>
  <w:style w:type="character" w:customStyle="1" w:styleId="70">
    <w:name w:val="标题 3 Char"/>
    <w:basedOn w:val="60"/>
    <w:link w:val="5"/>
    <w:qFormat/>
    <w:uiPriority w:val="0"/>
    <w:rPr>
      <w:rFonts w:ascii="Times New Roman" w:hAnsi="Times New Roman" w:eastAsia="方正仿宋_GBK" w:cs="Times New Roman"/>
      <w:b/>
      <w:sz w:val="32"/>
      <w:szCs w:val="20"/>
    </w:rPr>
  </w:style>
  <w:style w:type="character" w:customStyle="1" w:styleId="71">
    <w:name w:val="标题 4 Char"/>
    <w:basedOn w:val="60"/>
    <w:link w:val="6"/>
    <w:qFormat/>
    <w:uiPriority w:val="0"/>
    <w:rPr>
      <w:rFonts w:ascii="Arial" w:hAnsi="Arial" w:eastAsia="黑体" w:cs="Times New Roman"/>
      <w:b/>
      <w:sz w:val="24"/>
      <w:szCs w:val="20"/>
    </w:rPr>
  </w:style>
  <w:style w:type="character" w:customStyle="1" w:styleId="72">
    <w:name w:val="标题 5 Char"/>
    <w:basedOn w:val="60"/>
    <w:link w:val="7"/>
    <w:qFormat/>
    <w:uiPriority w:val="0"/>
    <w:rPr>
      <w:rFonts w:ascii="Times New Roman" w:hAnsi="Times New Roman" w:eastAsia="方正仿宋_GBK" w:cs="Times New Roman"/>
      <w:b/>
      <w:sz w:val="24"/>
      <w:szCs w:val="20"/>
    </w:rPr>
  </w:style>
  <w:style w:type="character" w:customStyle="1" w:styleId="73">
    <w:name w:val="标题 6 Char"/>
    <w:basedOn w:val="60"/>
    <w:link w:val="8"/>
    <w:qFormat/>
    <w:uiPriority w:val="0"/>
    <w:rPr>
      <w:rFonts w:ascii="Arial" w:hAnsi="Arial" w:eastAsia="黑体" w:cs="Times New Roman"/>
      <w:b/>
      <w:sz w:val="24"/>
      <w:szCs w:val="20"/>
    </w:rPr>
  </w:style>
  <w:style w:type="character" w:customStyle="1" w:styleId="74">
    <w:name w:val="标题 7 Char"/>
    <w:basedOn w:val="60"/>
    <w:link w:val="9"/>
    <w:qFormat/>
    <w:uiPriority w:val="0"/>
    <w:rPr>
      <w:rFonts w:ascii="Arial" w:hAnsi="Arial" w:eastAsia="黑体" w:cs="Times New Roman"/>
      <w:b/>
      <w:sz w:val="24"/>
      <w:szCs w:val="20"/>
    </w:rPr>
  </w:style>
  <w:style w:type="character" w:customStyle="1" w:styleId="75">
    <w:name w:val="标题 8 Char"/>
    <w:basedOn w:val="60"/>
    <w:link w:val="10"/>
    <w:qFormat/>
    <w:uiPriority w:val="0"/>
    <w:rPr>
      <w:rFonts w:ascii="Arial" w:hAnsi="Arial" w:eastAsia="黑体" w:cs="Times New Roman"/>
      <w:b/>
      <w:sz w:val="24"/>
      <w:szCs w:val="20"/>
    </w:rPr>
  </w:style>
  <w:style w:type="character" w:customStyle="1" w:styleId="76">
    <w:name w:val="标题 9 Char"/>
    <w:basedOn w:val="60"/>
    <w:link w:val="11"/>
    <w:qFormat/>
    <w:uiPriority w:val="0"/>
    <w:rPr>
      <w:rFonts w:ascii="Arial" w:hAnsi="Arial" w:eastAsia="黑体" w:cs="Times New Roman"/>
      <w:b/>
      <w:sz w:val="24"/>
      <w:szCs w:val="20"/>
    </w:rPr>
  </w:style>
  <w:style w:type="character" w:customStyle="1" w:styleId="77">
    <w:name w:val="正文文本 Char"/>
    <w:basedOn w:val="60"/>
    <w:link w:val="23"/>
    <w:qFormat/>
    <w:uiPriority w:val="0"/>
    <w:rPr>
      <w:rFonts w:ascii="仿宋_GB2312" w:hAnsi="Times New Roman" w:eastAsia="仿宋_GB2312" w:cs="Times New Roman"/>
      <w:sz w:val="32"/>
      <w:szCs w:val="20"/>
    </w:rPr>
  </w:style>
  <w:style w:type="character" w:customStyle="1" w:styleId="78">
    <w:name w:val="正文文本 3 Char"/>
    <w:basedOn w:val="60"/>
    <w:link w:val="17"/>
    <w:qFormat/>
    <w:uiPriority w:val="0"/>
    <w:rPr>
      <w:rFonts w:ascii="Times New Roman" w:hAnsi="Times New Roman" w:eastAsia="方正仿宋_GBK" w:cs="Times New Roman"/>
      <w:sz w:val="16"/>
      <w:szCs w:val="20"/>
    </w:rPr>
  </w:style>
  <w:style w:type="character" w:customStyle="1" w:styleId="79">
    <w:name w:val="文档结构图 Char"/>
    <w:basedOn w:val="60"/>
    <w:link w:val="19"/>
    <w:qFormat/>
    <w:uiPriority w:val="0"/>
    <w:rPr>
      <w:rFonts w:ascii="Times New Roman" w:hAnsi="Times New Roman" w:eastAsia="方正仿宋_GBK" w:cs="Times New Roman"/>
      <w:sz w:val="24"/>
      <w:szCs w:val="20"/>
      <w:shd w:val="clear" w:color="auto" w:fill="000080"/>
    </w:rPr>
  </w:style>
  <w:style w:type="character" w:customStyle="1" w:styleId="80">
    <w:name w:val="批注文字 Char"/>
    <w:basedOn w:val="60"/>
    <w:link w:val="21"/>
    <w:qFormat/>
    <w:uiPriority w:val="0"/>
    <w:rPr>
      <w:rFonts w:ascii="Times New Roman" w:hAnsi="Times New Roman" w:eastAsia="PMingLiU" w:cs="Times New Roman"/>
      <w:kern w:val="0"/>
      <w:sz w:val="24"/>
      <w:szCs w:val="20"/>
      <w:lang w:eastAsia="zh-TW"/>
    </w:rPr>
  </w:style>
  <w:style w:type="character" w:customStyle="1" w:styleId="81">
    <w:name w:val="正文文本缩进 Char"/>
    <w:basedOn w:val="60"/>
    <w:link w:val="24"/>
    <w:qFormat/>
    <w:uiPriority w:val="0"/>
    <w:rPr>
      <w:rFonts w:ascii="Times New Roman" w:hAnsi="Times New Roman" w:eastAsia="宋体" w:cs="Times New Roman"/>
      <w:sz w:val="44"/>
      <w:szCs w:val="20"/>
    </w:rPr>
  </w:style>
  <w:style w:type="character" w:customStyle="1" w:styleId="82">
    <w:name w:val="纯文本 Char"/>
    <w:basedOn w:val="60"/>
    <w:link w:val="32"/>
    <w:qFormat/>
    <w:uiPriority w:val="0"/>
    <w:rPr>
      <w:rFonts w:ascii="宋体" w:hAnsi="Times New Roman" w:eastAsia="宋体" w:cs="Times New Roman"/>
      <w:szCs w:val="20"/>
    </w:rPr>
  </w:style>
  <w:style w:type="character" w:customStyle="1" w:styleId="83">
    <w:name w:val="日期 Char"/>
    <w:basedOn w:val="60"/>
    <w:link w:val="34"/>
    <w:qFormat/>
    <w:uiPriority w:val="0"/>
    <w:rPr>
      <w:rFonts w:ascii="Times New Roman" w:hAnsi="Times New Roman" w:eastAsia="方正仿宋_GBK" w:cs="Times New Roman"/>
      <w:sz w:val="28"/>
      <w:szCs w:val="20"/>
    </w:rPr>
  </w:style>
  <w:style w:type="character" w:customStyle="1" w:styleId="84">
    <w:name w:val="正文文本缩进 2 Char"/>
    <w:basedOn w:val="60"/>
    <w:link w:val="35"/>
    <w:qFormat/>
    <w:uiPriority w:val="0"/>
    <w:rPr>
      <w:rFonts w:ascii="宋体" w:hAnsi="Times New Roman" w:eastAsia="宋体" w:cs="Times New Roman"/>
      <w:sz w:val="28"/>
      <w:szCs w:val="20"/>
    </w:rPr>
  </w:style>
  <w:style w:type="character" w:customStyle="1" w:styleId="85">
    <w:name w:val="批注框文本 Char"/>
    <w:basedOn w:val="60"/>
    <w:link w:val="36"/>
    <w:qFormat/>
    <w:uiPriority w:val="0"/>
    <w:rPr>
      <w:rFonts w:ascii="Times New Roman" w:hAnsi="Times New Roman" w:eastAsia="方正仿宋_GBK" w:cs="Times New Roman"/>
      <w:sz w:val="18"/>
      <w:szCs w:val="20"/>
    </w:rPr>
  </w:style>
  <w:style w:type="character" w:customStyle="1" w:styleId="86">
    <w:name w:val="页脚 Char"/>
    <w:basedOn w:val="60"/>
    <w:link w:val="2"/>
    <w:qFormat/>
    <w:uiPriority w:val="0"/>
    <w:rPr>
      <w:rFonts w:ascii="Times New Roman" w:hAnsi="Times New Roman" w:eastAsia="方正仿宋_GBK" w:cs="Times New Roman"/>
      <w:sz w:val="18"/>
      <w:szCs w:val="20"/>
    </w:rPr>
  </w:style>
  <w:style w:type="character" w:customStyle="1" w:styleId="87">
    <w:name w:val="页眉 Char"/>
    <w:basedOn w:val="60"/>
    <w:link w:val="37"/>
    <w:qFormat/>
    <w:uiPriority w:val="0"/>
    <w:rPr>
      <w:rFonts w:ascii="Times New Roman" w:hAnsi="Times New Roman" w:eastAsia="方正仿宋_GBK" w:cs="Times New Roman"/>
      <w:sz w:val="18"/>
      <w:szCs w:val="20"/>
    </w:rPr>
  </w:style>
  <w:style w:type="character" w:customStyle="1" w:styleId="88">
    <w:name w:val="脚注文本 Char"/>
    <w:basedOn w:val="60"/>
    <w:link w:val="41"/>
    <w:qFormat/>
    <w:uiPriority w:val="0"/>
    <w:rPr>
      <w:rFonts w:ascii="Times New Roman" w:hAnsi="Times New Roman" w:eastAsia="方正仿宋_GBK" w:cs="Times New Roman"/>
      <w:sz w:val="18"/>
      <w:szCs w:val="20"/>
    </w:rPr>
  </w:style>
  <w:style w:type="character" w:customStyle="1" w:styleId="89">
    <w:name w:val="正文文本缩进 3 Char"/>
    <w:basedOn w:val="60"/>
    <w:link w:val="43"/>
    <w:qFormat/>
    <w:uiPriority w:val="0"/>
    <w:rPr>
      <w:rFonts w:ascii="黑体" w:hAnsi="Times New Roman" w:eastAsia="黑体" w:cs="Times New Roman"/>
      <w:sz w:val="24"/>
      <w:szCs w:val="20"/>
    </w:rPr>
  </w:style>
  <w:style w:type="character" w:customStyle="1" w:styleId="90">
    <w:name w:val="正文文本 2 Char"/>
    <w:basedOn w:val="60"/>
    <w:link w:val="48"/>
    <w:qFormat/>
    <w:uiPriority w:val="0"/>
    <w:rPr>
      <w:rFonts w:ascii="Times New Roman" w:hAnsi="Times New Roman" w:eastAsia="方正仿宋_GBK" w:cs="Times New Roman"/>
      <w:sz w:val="24"/>
      <w:szCs w:val="20"/>
    </w:rPr>
  </w:style>
  <w:style w:type="character" w:customStyle="1" w:styleId="91">
    <w:name w:val="标题 Char"/>
    <w:basedOn w:val="60"/>
    <w:link w:val="54"/>
    <w:qFormat/>
    <w:uiPriority w:val="0"/>
    <w:rPr>
      <w:rFonts w:ascii="Arial" w:hAnsi="Arial" w:eastAsia="方正仿宋_GBK" w:cs="Times New Roman"/>
      <w:b/>
      <w:smallCaps/>
      <w:kern w:val="28"/>
      <w:sz w:val="36"/>
    </w:rPr>
  </w:style>
  <w:style w:type="character" w:customStyle="1" w:styleId="92">
    <w:name w:val="批注主题 Char"/>
    <w:basedOn w:val="80"/>
    <w:link w:val="56"/>
    <w:qFormat/>
    <w:uiPriority w:val="0"/>
    <w:rPr>
      <w:rFonts w:eastAsia="宋体"/>
      <w:b/>
    </w:rPr>
  </w:style>
  <w:style w:type="character" w:customStyle="1" w:styleId="93">
    <w:name w:val="正文首行缩进 Char"/>
    <w:basedOn w:val="77"/>
    <w:link w:val="57"/>
    <w:qFormat/>
    <w:uiPriority w:val="0"/>
    <w:rPr>
      <w:rFonts w:ascii="宋体" w:hAnsi="宋体"/>
      <w:sz w:val="24"/>
    </w:rPr>
  </w:style>
  <w:style w:type="character" w:customStyle="1" w:styleId="94">
    <w:name w:val="正文首行缩进 2 Char"/>
    <w:basedOn w:val="81"/>
    <w:link w:val="58"/>
    <w:qFormat/>
    <w:uiPriority w:val="0"/>
  </w:style>
  <w:style w:type="character" w:customStyle="1" w:styleId="95">
    <w:name w:val="font21"/>
    <w:qFormat/>
    <w:uiPriority w:val="0"/>
    <w:rPr>
      <w:rFonts w:ascii="方正仿宋_GBK" w:eastAsia="方正仿宋_GBK" w:cs="方正仿宋_GBK"/>
      <w:b/>
      <w:color w:val="000000"/>
      <w:sz w:val="28"/>
      <w:szCs w:val="28"/>
      <w:u w:val="none"/>
      <w:lang w:bidi="ar-SA"/>
    </w:rPr>
  </w:style>
  <w:style w:type="character" w:customStyle="1" w:styleId="96">
    <w:name w:val="正文 + 三号 Char"/>
    <w:qFormat/>
    <w:uiPriority w:val="0"/>
    <w:rPr>
      <w:rFonts w:eastAsia="宋体"/>
      <w:kern w:val="2"/>
      <w:sz w:val="21"/>
      <w:lang w:val="en-US" w:eastAsia="zh-CN"/>
    </w:rPr>
  </w:style>
  <w:style w:type="character" w:customStyle="1" w:styleId="97">
    <w:name w:val="Char Char"/>
    <w:qFormat/>
    <w:uiPriority w:val="0"/>
    <w:rPr>
      <w:rFonts w:ascii="宋体" w:eastAsia="宋体"/>
      <w:kern w:val="2"/>
      <w:sz w:val="24"/>
      <w:lang w:val="en-US" w:eastAsia="zh-CN" w:bidi="ar-SA"/>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content-white1"/>
    <w:qFormat/>
    <w:uiPriority w:val="0"/>
    <w:rPr>
      <w:color w:val="auto"/>
      <w:sz w:val="18"/>
      <w:u w:val="none"/>
    </w:rPr>
  </w:style>
  <w:style w:type="character" w:customStyle="1" w:styleId="100">
    <w:name w:val="Char Char3"/>
    <w:qFormat/>
    <w:uiPriority w:val="0"/>
    <w:rPr>
      <w:rFonts w:eastAsia="宋体"/>
      <w:kern w:val="2"/>
      <w:sz w:val="18"/>
      <w:lang w:val="en-US" w:eastAsia="zh-CN"/>
    </w:rPr>
  </w:style>
  <w:style w:type="character" w:customStyle="1" w:styleId="101">
    <w:name w:val="Char Char4"/>
    <w:qFormat/>
    <w:uiPriority w:val="0"/>
    <w:rPr>
      <w:rFonts w:eastAsia="宋体"/>
      <w:b/>
      <w:kern w:val="2"/>
      <w:sz w:val="21"/>
      <w:lang w:val="en-US" w:eastAsia="zh-CN"/>
    </w:rPr>
  </w:style>
  <w:style w:type="character" w:customStyle="1" w:styleId="102">
    <w:name w:val="Char Char11"/>
    <w:qFormat/>
    <w:uiPriority w:val="0"/>
    <w:rPr>
      <w:rFonts w:ascii="宋体"/>
      <w:kern w:val="2"/>
      <w:sz w:val="28"/>
    </w:rPr>
  </w:style>
  <w:style w:type="character" w:customStyle="1" w:styleId="103">
    <w:name w:val="title_emph1"/>
    <w:qFormat/>
    <w:uiPriority w:val="0"/>
    <w:rPr>
      <w:rFonts w:ascii="Arial" w:hAnsi="Arial"/>
      <w:b/>
      <w:sz w:val="20"/>
    </w:rPr>
  </w:style>
  <w:style w:type="character" w:customStyle="1" w:styleId="104">
    <w:name w:val="Char Char7"/>
    <w:qFormat/>
    <w:uiPriority w:val="0"/>
    <w:rPr>
      <w:rFonts w:ascii="宋体" w:eastAsia="宋体"/>
      <w:kern w:val="2"/>
      <w:sz w:val="28"/>
    </w:rPr>
  </w:style>
  <w:style w:type="character" w:customStyle="1" w:styleId="105">
    <w:name w:val="Char Char2"/>
    <w:qFormat/>
    <w:uiPriority w:val="0"/>
    <w:rPr>
      <w:rFonts w:eastAsia="宋体"/>
      <w:kern w:val="2"/>
      <w:sz w:val="18"/>
      <w:lang w:val="en-US" w:eastAsia="zh-CN"/>
    </w:rPr>
  </w:style>
  <w:style w:type="character" w:customStyle="1" w:styleId="106">
    <w:name w:val="Char Char5"/>
    <w:qFormat/>
    <w:uiPriority w:val="0"/>
    <w:rPr>
      <w:rFonts w:ascii="Arial" w:hAnsi="Arial" w:eastAsia="宋体"/>
      <w:b/>
      <w:smallCaps/>
      <w:kern w:val="28"/>
      <w:sz w:val="36"/>
      <w:lang w:val="en-US" w:eastAsia="en-US"/>
    </w:rPr>
  </w:style>
  <w:style w:type="character" w:customStyle="1" w:styleId="107">
    <w:name w:val="Char Char6"/>
    <w:qFormat/>
    <w:uiPriority w:val="0"/>
    <w:rPr>
      <w:rFonts w:ascii="仿宋_GB2312" w:eastAsia="仿宋_GB2312"/>
      <w:kern w:val="2"/>
      <w:sz w:val="32"/>
    </w:rPr>
  </w:style>
  <w:style w:type="character" w:customStyle="1" w:styleId="108">
    <w:name w:val="Table Heading Char Char"/>
    <w:qFormat/>
    <w:uiPriority w:val="0"/>
    <w:rPr>
      <w:rFonts w:ascii="Arial" w:hAnsi="Arial" w:eastAsia="黑体"/>
      <w:kern w:val="2"/>
      <w:sz w:val="18"/>
      <w:lang w:val="en-US" w:eastAsia="zh-CN"/>
    </w:rPr>
  </w:style>
  <w:style w:type="character" w:customStyle="1" w:styleId="109">
    <w:name w:val="H2 Char"/>
    <w:qFormat/>
    <w:uiPriority w:val="0"/>
    <w:rPr>
      <w:rFonts w:ascii="Arial" w:hAnsi="Arial" w:eastAsia="宋体"/>
      <w:kern w:val="2"/>
      <w:sz w:val="28"/>
      <w:lang w:val="en-US" w:eastAsia="zh-CN"/>
    </w:rPr>
  </w:style>
  <w:style w:type="character" w:customStyle="1" w:styleId="110">
    <w:name w:val="top-det1"/>
    <w:qFormat/>
    <w:uiPriority w:val="0"/>
    <w:rPr>
      <w:b/>
      <w:color w:val="000000"/>
    </w:rPr>
  </w:style>
  <w:style w:type="character" w:customStyle="1" w:styleId="111">
    <w:name w:val="小 Char"/>
    <w:qFormat/>
    <w:uiPriority w:val="0"/>
    <w:rPr>
      <w:rFonts w:ascii="宋体" w:eastAsia="宋体"/>
      <w:kern w:val="2"/>
      <w:sz w:val="21"/>
      <w:lang w:val="en-US" w:eastAsia="zh-CN" w:bidi="ar-SA"/>
    </w:rPr>
  </w:style>
  <w:style w:type="character" w:customStyle="1" w:styleId="112">
    <w:name w:val="font1"/>
    <w:qFormat/>
    <w:uiPriority w:val="0"/>
    <w:rPr>
      <w:color w:val="000000"/>
      <w:sz w:val="18"/>
    </w:rPr>
  </w:style>
  <w:style w:type="character" w:customStyle="1" w:styleId="113">
    <w:name w:val="标书正文:  0.74 厘米 Char1"/>
    <w:qFormat/>
    <w:uiPriority w:val="0"/>
    <w:rPr>
      <w:rFonts w:eastAsia="宋体"/>
      <w:kern w:val="2"/>
      <w:sz w:val="24"/>
      <w:lang w:val="en-US" w:eastAsia="zh-CN"/>
    </w:rPr>
  </w:style>
  <w:style w:type="character" w:customStyle="1" w:styleId="114">
    <w:name w:val="v151"/>
    <w:qFormat/>
    <w:uiPriority w:val="0"/>
    <w:rPr>
      <w:sz w:val="18"/>
    </w:rPr>
  </w:style>
  <w:style w:type="character" w:customStyle="1" w:styleId="115">
    <w:name w:val="样式 宋体"/>
    <w:qFormat/>
    <w:uiPriority w:val="0"/>
    <w:rPr>
      <w:rFonts w:ascii="宋体" w:eastAsia="宋体"/>
      <w:sz w:val="28"/>
    </w:rPr>
  </w:style>
  <w:style w:type="character" w:customStyle="1" w:styleId="116">
    <w:name w:val="未命名11"/>
    <w:qFormat/>
    <w:uiPriority w:val="0"/>
    <w:rPr>
      <w:color w:val="77FFFF"/>
      <w:sz w:val="24"/>
    </w:rPr>
  </w:style>
  <w:style w:type="character" w:customStyle="1" w:styleId="117">
    <w:name w:val="font51"/>
    <w:qFormat/>
    <w:uiPriority w:val="0"/>
    <w:rPr>
      <w:rFonts w:ascii="Times New Roman" w:hAnsi="Times New Roman" w:cs="Times New Roman"/>
      <w:b/>
      <w:color w:val="000000"/>
      <w:sz w:val="28"/>
      <w:szCs w:val="28"/>
      <w:u w:val="none"/>
      <w:lang w:bidi="ar-SA"/>
    </w:rPr>
  </w:style>
  <w:style w:type="character" w:customStyle="1" w:styleId="118">
    <w:name w:val="crowed11"/>
    <w:qFormat/>
    <w:uiPriority w:val="0"/>
    <w:rPr>
      <w:sz w:val="24"/>
    </w:rPr>
  </w:style>
  <w:style w:type="paragraph" w:customStyle="1" w:styleId="11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20">
    <w:name w:val="正文字缩2字"/>
    <w:basedOn w:val="1"/>
    <w:qFormat/>
    <w:uiPriority w:val="0"/>
    <w:pPr>
      <w:spacing w:before="60" w:after="60" w:line="360" w:lineRule="auto"/>
      <w:ind w:left="200" w:leftChars="200" w:firstLine="200" w:firstLineChars="200"/>
    </w:pPr>
  </w:style>
  <w:style w:type="paragraph" w:customStyle="1" w:styleId="121">
    <w:name w:val="图片文字"/>
    <w:basedOn w:val="1"/>
    <w:qFormat/>
    <w:uiPriority w:val="0"/>
    <w:pPr>
      <w:spacing w:line="240" w:lineRule="atLeast"/>
      <w:jc w:val="center"/>
    </w:pPr>
    <w:rPr>
      <w:sz w:val="21"/>
    </w:rPr>
  </w:style>
  <w:style w:type="paragraph" w:customStyle="1" w:styleId="122">
    <w:name w:val="Char Char 字元 字元 字元 Char Char Char Char"/>
    <w:basedOn w:val="1"/>
    <w:qFormat/>
    <w:uiPriority w:val="0"/>
    <w:pPr>
      <w:adjustRightInd w:val="0"/>
      <w:spacing w:line="360" w:lineRule="auto"/>
    </w:pPr>
    <w:rPr>
      <w:kern w:val="0"/>
    </w:rPr>
  </w:style>
  <w:style w:type="paragraph" w:customStyle="1" w:styleId="123">
    <w:name w:val="Table Text Char Char"/>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24">
    <w:name w:val="编号正文"/>
    <w:basedOn w:val="125"/>
    <w:qFormat/>
    <w:uiPriority w:val="0"/>
    <w:pPr>
      <w:snapToGrid/>
      <w:spacing w:line="360" w:lineRule="auto"/>
      <w:ind w:left="1407" w:hanging="1047"/>
      <w:jc w:val="left"/>
    </w:pPr>
    <w:rPr>
      <w:rFonts w:eastAsia="仿宋_GB2312"/>
    </w:rPr>
  </w:style>
  <w:style w:type="paragraph" w:customStyle="1" w:styleId="125">
    <w:name w:val="文档正文"/>
    <w:basedOn w:val="1"/>
    <w:qFormat/>
    <w:uiPriority w:val="0"/>
    <w:pPr>
      <w:adjustRightInd w:val="0"/>
      <w:snapToGrid w:val="0"/>
      <w:spacing w:line="440" w:lineRule="exact"/>
      <w:ind w:firstLine="567"/>
      <w:textAlignment w:val="baseline"/>
    </w:pPr>
    <w:rPr>
      <w:rFonts w:ascii="Arial Narrow" w:hAnsi="Arial Narrow"/>
      <w:kern w:val="0"/>
    </w:rPr>
  </w:style>
  <w:style w:type="paragraph" w:customStyle="1" w:styleId="126">
    <w:name w:val="默认段落字体 Para Char Char Char Char Char Char Char"/>
    <w:basedOn w:val="1"/>
    <w:qFormat/>
    <w:uiPriority w:val="0"/>
    <w:rPr>
      <w:rFonts w:ascii="Tahoma" w:hAnsi="Tahoma"/>
    </w:rPr>
  </w:style>
  <w:style w:type="paragraph" w:customStyle="1" w:styleId="127">
    <w:name w:val="1.正文"/>
    <w:basedOn w:val="1"/>
    <w:qFormat/>
    <w:uiPriority w:val="0"/>
    <w:pPr>
      <w:spacing w:line="360" w:lineRule="auto"/>
      <w:ind w:left="225" w:leftChars="225" w:firstLine="225" w:firstLineChars="225"/>
    </w:pPr>
  </w:style>
  <w:style w:type="paragraph" w:customStyle="1" w:styleId="128">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9">
    <w:name w:val="af"/>
    <w:basedOn w:val="1"/>
    <w:qFormat/>
    <w:uiPriority w:val="0"/>
    <w:pPr>
      <w:widowControl/>
      <w:spacing w:line="300" w:lineRule="atLeast"/>
      <w:jc w:val="left"/>
    </w:pPr>
    <w:rPr>
      <w:rFonts w:ascii="宋体" w:hAnsi="宋体"/>
      <w:kern w:val="0"/>
      <w:sz w:val="18"/>
    </w:rPr>
  </w:style>
  <w:style w:type="paragraph" w:customStyle="1" w:styleId="130">
    <w:name w:val="正文文本 21"/>
    <w:basedOn w:val="1"/>
    <w:qFormat/>
    <w:uiPriority w:val="0"/>
    <w:pPr>
      <w:adjustRightInd w:val="0"/>
      <w:spacing w:before="120" w:line="360" w:lineRule="auto"/>
      <w:ind w:firstLine="480"/>
      <w:textAlignment w:val="baseline"/>
    </w:pPr>
  </w:style>
  <w:style w:type="paragraph" w:customStyle="1" w:styleId="131">
    <w:name w:val="章标题"/>
    <w:next w:val="1"/>
    <w:qFormat/>
    <w:uiPriority w:val="0"/>
    <w:pPr>
      <w:tabs>
        <w:tab w:val="left" w:pos="0"/>
      </w:tabs>
      <w:spacing w:before="50" w:after="50"/>
      <w:jc w:val="both"/>
      <w:outlineLvl w:val="1"/>
    </w:pPr>
    <w:rPr>
      <w:rFonts w:ascii="黑体" w:hAnsi="Times New Roman" w:eastAsia="黑体" w:cs="Times New Roman"/>
      <w:kern w:val="0"/>
      <w:sz w:val="24"/>
      <w:szCs w:val="20"/>
      <w:lang w:val="en-US" w:eastAsia="zh-CN" w:bidi="ar-SA"/>
    </w:rPr>
  </w:style>
  <w:style w:type="paragraph" w:customStyle="1" w:styleId="132">
    <w:name w:val="样式 样式 首行缩进:  2 字符 + 首行缩进:  2 字符"/>
    <w:basedOn w:val="1"/>
    <w:qFormat/>
    <w:uiPriority w:val="0"/>
    <w:pPr>
      <w:spacing w:line="360" w:lineRule="auto"/>
      <w:ind w:firstLine="200" w:firstLineChars="200"/>
    </w:pPr>
  </w:style>
  <w:style w:type="paragraph" w:customStyle="1" w:styleId="13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34">
    <w:name w:val="Table Text Char Char Char"/>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35">
    <w:name w:val="样式3"/>
    <w:basedOn w:val="3"/>
    <w:next w:val="3"/>
    <w:qFormat/>
    <w:uiPriority w:val="0"/>
    <w:pPr>
      <w:adjustRightInd w:val="0"/>
      <w:snapToGrid w:val="0"/>
      <w:spacing w:before="340" w:after="330" w:line="576" w:lineRule="auto"/>
    </w:pPr>
    <w:rPr>
      <w:rFonts w:eastAsia="黑体"/>
      <w:sz w:val="44"/>
    </w:rPr>
  </w:style>
  <w:style w:type="paragraph" w:customStyle="1" w:styleId="136">
    <w:name w:val="缺省文本"/>
    <w:basedOn w:val="1"/>
    <w:qFormat/>
    <w:uiPriority w:val="0"/>
    <w:pPr>
      <w:tabs>
        <w:tab w:val="left" w:pos="1260"/>
      </w:tabs>
      <w:autoSpaceDE w:val="0"/>
      <w:autoSpaceDN w:val="0"/>
      <w:adjustRightInd w:val="0"/>
      <w:spacing w:line="360" w:lineRule="auto"/>
      <w:jc w:val="left"/>
    </w:pPr>
    <w:rPr>
      <w:kern w:val="0"/>
    </w:rPr>
  </w:style>
  <w:style w:type="paragraph" w:customStyle="1" w:styleId="137">
    <w:name w:val="Char1 Char Char Char"/>
    <w:basedOn w:val="1"/>
    <w:qFormat/>
    <w:uiPriority w:val="0"/>
    <w:rPr>
      <w:rFonts w:ascii="Tahoma" w:hAnsi="Tahoma"/>
    </w:rPr>
  </w:style>
  <w:style w:type="paragraph" w:customStyle="1" w:styleId="138">
    <w:name w:val="00"/>
    <w:basedOn w:val="1"/>
    <w:qFormat/>
    <w:uiPriority w:val="0"/>
    <w:pPr>
      <w:autoSpaceDE w:val="0"/>
      <w:autoSpaceDN w:val="0"/>
      <w:adjustRightInd w:val="0"/>
      <w:jc w:val="left"/>
    </w:pPr>
    <w:rPr>
      <w:rFonts w:ascii="黑体" w:eastAsia="黑体"/>
      <w:b/>
      <w:kern w:val="0"/>
      <w:sz w:val="20"/>
    </w:rPr>
  </w:style>
  <w:style w:type="paragraph" w:customStyle="1" w:styleId="13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40">
    <w:name w:val="正文（首行不缩进）"/>
    <w:basedOn w:val="1"/>
    <w:qFormat/>
    <w:uiPriority w:val="0"/>
    <w:pPr>
      <w:autoSpaceDE w:val="0"/>
      <w:autoSpaceDN w:val="0"/>
      <w:adjustRightInd w:val="0"/>
      <w:spacing w:line="360" w:lineRule="auto"/>
      <w:jc w:val="left"/>
    </w:pPr>
    <w:rPr>
      <w:kern w:val="0"/>
      <w:sz w:val="21"/>
    </w:rPr>
  </w:style>
  <w:style w:type="paragraph" w:customStyle="1" w:styleId="141">
    <w:name w:val="Char Char Char Char Char Char Char"/>
    <w:basedOn w:val="1"/>
    <w:qFormat/>
    <w:uiPriority w:val="0"/>
    <w:rPr>
      <w:rFonts w:ascii="Tahoma" w:hAnsi="Tahoma"/>
    </w:rPr>
  </w:style>
  <w:style w:type="paragraph" w:customStyle="1" w:styleId="142">
    <w:name w:val="司法正文"/>
    <w:qFormat/>
    <w:uiPriority w:val="0"/>
    <w:pPr>
      <w:widowControl w:val="0"/>
      <w:ind w:firstLine="200" w:firstLineChars="200"/>
      <w:jc w:val="both"/>
    </w:pPr>
    <w:rPr>
      <w:rFonts w:ascii="Times New Roman" w:hAnsi="Times New Roman" w:eastAsia="仿宋_GB2312" w:cs="Times New Roman"/>
      <w:kern w:val="0"/>
      <w:sz w:val="32"/>
      <w:szCs w:val="20"/>
      <w:lang w:val="en-US" w:eastAsia="zh-CN" w:bidi="ar-SA"/>
    </w:rPr>
  </w:style>
  <w:style w:type="paragraph" w:customStyle="1" w:styleId="143">
    <w:name w:val="Char Char14 Char Char"/>
    <w:basedOn w:val="1"/>
    <w:qFormat/>
    <w:uiPriority w:val="0"/>
    <w:rPr>
      <w:sz w:val="21"/>
      <w:szCs w:val="24"/>
    </w:rPr>
  </w:style>
  <w:style w:type="paragraph" w:customStyle="1" w:styleId="144">
    <w:name w:val="内容标题"/>
    <w:basedOn w:val="19"/>
    <w:qFormat/>
    <w:uiPriority w:val="0"/>
    <w:rPr>
      <w:rFonts w:ascii="Tahoma" w:hAnsi="Tahoma"/>
    </w:rPr>
  </w:style>
  <w:style w:type="paragraph" w:customStyle="1" w:styleId="145">
    <w:name w:val="Table Text Char1"/>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46">
    <w:name w:val="表文字"/>
    <w:qFormat/>
    <w:uiPriority w:val="0"/>
    <w:rPr>
      <w:rFonts w:ascii="宋体" w:hAnsi="Times New Roman" w:eastAsia="宋体" w:cs="Times New Roman"/>
      <w:kern w:val="2"/>
      <w:sz w:val="20"/>
      <w:szCs w:val="20"/>
      <w:lang w:val="en-US" w:eastAsia="zh-CN" w:bidi="ar-SA"/>
    </w:rPr>
  </w:style>
  <w:style w:type="paragraph" w:customStyle="1" w:styleId="147">
    <w:name w:val="Table Heading"/>
    <w:qFormat/>
    <w:uiPriority w:val="0"/>
    <w:pPr>
      <w:keepNext/>
      <w:snapToGrid w:val="0"/>
      <w:spacing w:before="80" w:after="80"/>
      <w:jc w:val="center"/>
    </w:pPr>
    <w:rPr>
      <w:rFonts w:ascii="Arial" w:hAnsi="Arial" w:eastAsia="黑体" w:cs="Times New Roman"/>
      <w:kern w:val="0"/>
      <w:sz w:val="18"/>
      <w:szCs w:val="20"/>
      <w:lang w:val="en-US" w:eastAsia="zh-CN" w:bidi="ar-SA"/>
    </w:rPr>
  </w:style>
  <w:style w:type="paragraph" w:customStyle="1" w:styleId="148">
    <w:name w:val="表格1"/>
    <w:next w:val="1"/>
    <w:qFormat/>
    <w:uiPriority w:val="0"/>
    <w:pPr>
      <w:widowControl w:val="0"/>
      <w:kinsoku w:val="0"/>
      <w:wordWrap w:val="0"/>
      <w:overflowPunct w:val="0"/>
      <w:autoSpaceDE w:val="0"/>
      <w:autoSpaceDN w:val="0"/>
      <w:adjustRightInd w:val="0"/>
      <w:spacing w:line="288" w:lineRule="auto"/>
      <w:jc w:val="center"/>
      <w:textAlignment w:val="baseline"/>
    </w:pPr>
    <w:rPr>
      <w:rFonts w:ascii="宋体" w:hAnsi="Times New Roman" w:eastAsia="宋体" w:cs="Times New Roman"/>
      <w:kern w:val="0"/>
      <w:sz w:val="18"/>
      <w:szCs w:val="20"/>
      <w:lang w:val="en-US" w:eastAsia="zh-CN" w:bidi="ar-SA"/>
    </w:rPr>
  </w:style>
  <w:style w:type="paragraph" w:customStyle="1" w:styleId="149">
    <w:name w:val="附录3"/>
    <w:basedOn w:val="1"/>
    <w:next w:val="1"/>
    <w:qFormat/>
    <w:uiPriority w:val="0"/>
    <w:pPr>
      <w:tabs>
        <w:tab w:val="left" w:pos="851"/>
      </w:tabs>
      <w:ind w:left="425" w:hanging="425"/>
      <w:outlineLvl w:val="2"/>
    </w:pPr>
    <w:rPr>
      <w:rFonts w:eastAsia="黑体"/>
      <w:b/>
      <w:sz w:val="32"/>
    </w:rPr>
  </w:style>
  <w:style w:type="paragraph" w:customStyle="1" w:styleId="150">
    <w:name w:val="附录1"/>
    <w:basedOn w:val="1"/>
    <w:next w:val="1"/>
    <w:qFormat/>
    <w:uiPriority w:val="0"/>
    <w:pPr>
      <w:tabs>
        <w:tab w:val="left" w:pos="1304"/>
      </w:tabs>
      <w:ind w:left="425" w:hanging="425"/>
      <w:outlineLvl w:val="0"/>
    </w:pPr>
    <w:rPr>
      <w:rFonts w:ascii="黑体" w:eastAsia="黑体"/>
      <w:b/>
      <w:sz w:val="44"/>
    </w:rPr>
  </w:style>
  <w:style w:type="paragraph" w:customStyle="1" w:styleId="151">
    <w:name w:val="标题无"/>
    <w:next w:val="1"/>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52">
    <w:name w:val="Table Text"/>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53">
    <w:name w:val="标题5"/>
    <w:basedOn w:val="1"/>
    <w:qFormat/>
    <w:uiPriority w:val="0"/>
    <w:pPr>
      <w:tabs>
        <w:tab w:val="left" w:pos="0"/>
      </w:tabs>
      <w:autoSpaceDE w:val="0"/>
      <w:autoSpaceDN w:val="0"/>
      <w:adjustRightInd w:val="0"/>
      <w:snapToGrid w:val="0"/>
      <w:spacing w:line="320" w:lineRule="atLeast"/>
    </w:pPr>
    <w:rPr>
      <w:rFonts w:ascii="宋体" w:hAnsi="宋体"/>
      <w:kern w:val="0"/>
      <w:sz w:val="21"/>
    </w:rPr>
  </w:style>
  <w:style w:type="paragraph" w:customStyle="1" w:styleId="154">
    <w:name w:val="表头文本"/>
    <w:qFormat/>
    <w:uiPriority w:val="0"/>
    <w:pPr>
      <w:jc w:val="center"/>
    </w:pPr>
    <w:rPr>
      <w:rFonts w:ascii="Arial" w:hAnsi="Arial" w:eastAsia="宋体" w:cs="Times New Roman"/>
      <w:b/>
      <w:kern w:val="0"/>
      <w:sz w:val="21"/>
      <w:szCs w:val="20"/>
      <w:lang w:val="en-US" w:eastAsia="zh-CN" w:bidi="ar-SA"/>
    </w:rPr>
  </w:style>
  <w:style w:type="paragraph" w:customStyle="1" w:styleId="155">
    <w:name w:val="_"/>
    <w:basedOn w:val="1"/>
    <w:qFormat/>
    <w:uiPriority w:val="0"/>
    <w:pPr>
      <w:adjustRightInd w:val="0"/>
      <w:spacing w:line="360" w:lineRule="auto"/>
      <w:ind w:left="480" w:firstLine="200" w:firstLineChars="200"/>
      <w:textAlignment w:val="baseline"/>
    </w:pPr>
    <w:rPr>
      <w:kern w:val="0"/>
    </w:rPr>
  </w:style>
  <w:style w:type="paragraph" w:customStyle="1" w:styleId="156">
    <w:name w:val="二级条标题"/>
    <w:basedOn w:val="157"/>
    <w:next w:val="158"/>
    <w:qFormat/>
    <w:uiPriority w:val="0"/>
    <w:pPr>
      <w:tabs>
        <w:tab w:val="left" w:pos="0"/>
      </w:tabs>
      <w:ind w:left="840"/>
      <w:outlineLvl w:val="3"/>
    </w:pPr>
  </w:style>
  <w:style w:type="paragraph" w:customStyle="1" w:styleId="157">
    <w:name w:val="一级条标题"/>
    <w:basedOn w:val="131"/>
    <w:next w:val="158"/>
    <w:qFormat/>
    <w:uiPriority w:val="0"/>
    <w:pPr>
      <w:spacing w:before="0" w:after="0"/>
      <w:ind w:left="525"/>
      <w:outlineLvl w:val="2"/>
    </w:pPr>
    <w:rPr>
      <w:sz w:val="21"/>
    </w:rPr>
  </w:style>
  <w:style w:type="paragraph" w:customStyle="1" w:styleId="158">
    <w:name w:val="段"/>
    <w:next w:val="1"/>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59">
    <w:name w:val="样式 宋体 五号 行距: 单倍行距"/>
    <w:basedOn w:val="1"/>
    <w:qFormat/>
    <w:uiPriority w:val="0"/>
    <w:pPr>
      <w:adjustRightInd w:val="0"/>
      <w:jc w:val="left"/>
    </w:pPr>
    <w:rPr>
      <w:rFonts w:ascii="宋体" w:hAnsi="宋体"/>
      <w:kern w:val="0"/>
      <w:sz w:val="21"/>
    </w:rPr>
  </w:style>
  <w:style w:type="paragraph" w:customStyle="1" w:styleId="160">
    <w:name w:val="表号"/>
    <w:basedOn w:val="1"/>
    <w:qFormat/>
    <w:uiPriority w:val="0"/>
    <w:pPr>
      <w:tabs>
        <w:tab w:val="left" w:pos="648"/>
      </w:tabs>
      <w:autoSpaceDE w:val="0"/>
      <w:autoSpaceDN w:val="0"/>
      <w:adjustRightInd w:val="0"/>
      <w:spacing w:before="210" w:after="210"/>
      <w:ind w:left="425" w:hanging="137"/>
      <w:jc w:val="center"/>
    </w:pPr>
    <w:rPr>
      <w:kern w:val="0"/>
      <w:sz w:val="21"/>
    </w:rPr>
  </w:style>
  <w:style w:type="paragraph" w:customStyle="1" w:styleId="161">
    <w:name w:val="样式 行距: 1.5 倍行距1"/>
    <w:basedOn w:val="1"/>
    <w:qFormat/>
    <w:uiPriority w:val="0"/>
    <w:pPr>
      <w:snapToGrid w:val="0"/>
    </w:pPr>
    <w:rPr>
      <w:sz w:val="21"/>
    </w:rPr>
  </w:style>
  <w:style w:type="paragraph" w:customStyle="1" w:styleId="162">
    <w:name w:val="表格文本"/>
    <w:qFormat/>
    <w:uiPriority w:val="0"/>
    <w:pPr>
      <w:tabs>
        <w:tab w:val="decimal" w:pos="0"/>
      </w:tabs>
    </w:pPr>
    <w:rPr>
      <w:rFonts w:ascii="Arial" w:hAnsi="Arial" w:eastAsia="宋体" w:cs="Times New Roman"/>
      <w:kern w:val="0"/>
      <w:sz w:val="21"/>
      <w:szCs w:val="20"/>
      <w:lang w:val="en-US" w:eastAsia="zh-CN" w:bidi="ar-SA"/>
    </w:rPr>
  </w:style>
  <w:style w:type="paragraph" w:customStyle="1" w:styleId="163">
    <w:name w:val="文本框样式1"/>
    <w:basedOn w:val="1"/>
    <w:qFormat/>
    <w:uiPriority w:val="0"/>
    <w:pPr>
      <w:adjustRightInd w:val="0"/>
      <w:snapToGrid w:val="0"/>
      <w:spacing w:before="60" w:line="180" w:lineRule="exact"/>
      <w:jc w:val="center"/>
    </w:pPr>
    <w:rPr>
      <w:sz w:val="21"/>
    </w:rPr>
  </w:style>
  <w:style w:type="paragraph" w:customStyle="1" w:styleId="164">
    <w:name w:val="样式2"/>
    <w:basedOn w:val="6"/>
    <w:qFormat/>
    <w:uiPriority w:val="0"/>
    <w:pPr>
      <w:tabs>
        <w:tab w:val="left" w:pos="720"/>
      </w:tabs>
      <w:spacing w:before="560" w:line="400" w:lineRule="exact"/>
      <w:ind w:left="420" w:hanging="420"/>
      <w:jc w:val="center"/>
      <w:outlineLvl w:val="0"/>
    </w:pPr>
    <w:rPr>
      <w:b w:val="0"/>
      <w:sz w:val="44"/>
    </w:rPr>
  </w:style>
  <w:style w:type="paragraph" w:customStyle="1" w:styleId="165">
    <w:name w:val="正文格式"/>
    <w:basedOn w:val="1"/>
    <w:qFormat/>
    <w:uiPriority w:val="0"/>
    <w:pPr>
      <w:widowControl/>
      <w:adjustRightInd w:val="0"/>
      <w:snapToGrid w:val="0"/>
      <w:spacing w:before="60" w:line="360" w:lineRule="auto"/>
      <w:ind w:firstLine="200" w:firstLineChars="200"/>
      <w:jc w:val="left"/>
      <w:textAlignment w:val="baseline"/>
    </w:pPr>
    <w:rPr>
      <w:rFonts w:ascii="宋体" w:hAnsi="宋体"/>
      <w:color w:val="000000"/>
      <w:kern w:val="0"/>
    </w:rPr>
  </w:style>
  <w:style w:type="paragraph" w:customStyle="1" w:styleId="166">
    <w:name w:val="Char1"/>
    <w:basedOn w:val="1"/>
    <w:qFormat/>
    <w:uiPriority w:val="0"/>
    <w:rPr>
      <w:sz w:val="21"/>
    </w:rPr>
  </w:style>
  <w:style w:type="paragraph" w:customStyle="1" w:styleId="16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rPr>
  </w:style>
  <w:style w:type="paragraph" w:customStyle="1" w:styleId="168">
    <w:name w:val="正文格式 Char"/>
    <w:basedOn w:val="1"/>
    <w:qFormat/>
    <w:uiPriority w:val="0"/>
    <w:pPr>
      <w:widowControl/>
      <w:adjustRightInd w:val="0"/>
      <w:spacing w:line="440" w:lineRule="atLeast"/>
      <w:ind w:firstLine="510"/>
      <w:textAlignment w:val="baseline"/>
    </w:pPr>
    <w:rPr>
      <w:kern w:val="0"/>
    </w:rPr>
  </w:style>
  <w:style w:type="paragraph" w:customStyle="1" w:styleId="169">
    <w:name w:val="表格内文字"/>
    <w:basedOn w:val="32"/>
    <w:qFormat/>
    <w:uiPriority w:val="0"/>
    <w:rPr>
      <w:color w:val="000000"/>
      <w:lang w:val="en-GB" w:eastAsia="en-GB"/>
    </w:rPr>
  </w:style>
  <w:style w:type="paragraph" w:customStyle="1" w:styleId="170">
    <w:name w:val="首行缩进"/>
    <w:basedOn w:val="1"/>
    <w:qFormat/>
    <w:uiPriority w:val="0"/>
    <w:pPr>
      <w:tabs>
        <w:tab w:val="left" w:pos="540"/>
      </w:tabs>
      <w:spacing w:line="360" w:lineRule="auto"/>
      <w:ind w:left="540"/>
    </w:pPr>
    <w:rPr>
      <w:rFonts w:eastAsia="仿宋_GB2312"/>
    </w:rPr>
  </w:style>
  <w:style w:type="paragraph" w:customStyle="1" w:styleId="171">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rPr>
  </w:style>
  <w:style w:type="paragraph" w:customStyle="1" w:styleId="17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73">
    <w:name w:val="标题2"/>
    <w:basedOn w:val="4"/>
    <w:qFormat/>
    <w:uiPriority w:val="0"/>
    <w:pPr>
      <w:keepNext w:val="0"/>
      <w:keepLines w:val="0"/>
      <w:adjustRightInd w:val="0"/>
      <w:snapToGrid w:val="0"/>
      <w:spacing w:line="360" w:lineRule="auto"/>
      <w:ind w:firstLine="196" w:firstLineChars="196"/>
      <w:outlineLvl w:val="9"/>
    </w:pPr>
    <w:rPr>
      <w:rFonts w:ascii="宋体" w:eastAsia="宋体"/>
      <w:spacing w:val="6"/>
      <w:sz w:val="28"/>
      <w:u w:val="single"/>
    </w:rPr>
  </w:style>
  <w:style w:type="paragraph" w:customStyle="1" w:styleId="174">
    <w:name w:val="项目"/>
    <w:basedOn w:val="1"/>
    <w:qFormat/>
    <w:uiPriority w:val="0"/>
    <w:pPr>
      <w:tabs>
        <w:tab w:val="left" w:pos="1280"/>
      </w:tabs>
      <w:spacing w:before="120" w:after="120" w:line="360" w:lineRule="auto"/>
      <w:ind w:left="-7" w:firstLine="567"/>
      <w:jc w:val="left"/>
      <w:textAlignment w:val="baseline"/>
    </w:pPr>
    <w:rPr>
      <w:rFonts w:ascii="宋体" w:hAnsi="宋体"/>
      <w:kern w:val="0"/>
    </w:rPr>
  </w:style>
  <w:style w:type="paragraph" w:customStyle="1" w:styleId="175">
    <w:name w:val="Char Char1 Char"/>
    <w:basedOn w:val="1"/>
    <w:qFormat/>
    <w:uiPriority w:val="0"/>
    <w:rPr>
      <w:rFonts w:ascii="Tahoma" w:hAnsi="Tahoma"/>
      <w:szCs w:val="24"/>
    </w:rPr>
  </w:style>
  <w:style w:type="paragraph" w:customStyle="1" w:styleId="176">
    <w:name w:val="文字"/>
    <w:basedOn w:val="1"/>
    <w:qFormat/>
    <w:uiPriority w:val="0"/>
    <w:pPr>
      <w:tabs>
        <w:tab w:val="left" w:pos="8520"/>
      </w:tabs>
      <w:spacing w:line="312" w:lineRule="auto"/>
      <w:ind w:right="-210" w:firstLine="556"/>
    </w:pPr>
    <w:rPr>
      <w:rFonts w:ascii="宋体" w:hAnsi="宋体"/>
    </w:rPr>
  </w:style>
  <w:style w:type="paragraph" w:customStyle="1" w:styleId="177">
    <w:name w:val="Char Char Char Char Char Char Char Char Char Char Char Char Char"/>
    <w:basedOn w:val="1"/>
    <w:qFormat/>
    <w:uiPriority w:val="0"/>
    <w:pPr>
      <w:widowControl/>
      <w:spacing w:after="160" w:line="240" w:lineRule="exact"/>
      <w:jc w:val="left"/>
    </w:pPr>
    <w:rPr>
      <w:rFonts w:ascii="Verdana" w:hAnsi="Verdana" w:eastAsia="仿宋_GB2312"/>
      <w:kern w:val="0"/>
    </w:rPr>
  </w:style>
  <w:style w:type="paragraph" w:customStyle="1" w:styleId="178">
    <w:name w:val="标书正文:  0.74 厘米"/>
    <w:basedOn w:val="1"/>
    <w:qFormat/>
    <w:uiPriority w:val="0"/>
    <w:pPr>
      <w:snapToGrid w:val="0"/>
      <w:spacing w:line="360" w:lineRule="auto"/>
      <w:ind w:firstLine="420"/>
    </w:pPr>
  </w:style>
  <w:style w:type="paragraph" w:customStyle="1" w:styleId="179">
    <w:name w:val="样式 标题 6第五层条 + 三号 段前: 0.5 行"/>
    <w:basedOn w:val="8"/>
    <w:qFormat/>
    <w:uiPriority w:val="0"/>
    <w:pPr>
      <w:widowControl/>
      <w:adjustRightInd/>
      <w:snapToGrid/>
      <w:spacing w:before="50"/>
      <w:jc w:val="left"/>
    </w:pPr>
    <w:rPr>
      <w:snapToGrid w:val="0"/>
      <w:kern w:val="24"/>
      <w:sz w:val="28"/>
    </w:rPr>
  </w:style>
  <w:style w:type="paragraph" w:customStyle="1" w:styleId="180">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81">
    <w:name w:val="正文1"/>
    <w:basedOn w:val="1"/>
    <w:qFormat/>
    <w:uiPriority w:val="0"/>
    <w:pPr>
      <w:spacing w:line="300" w:lineRule="auto"/>
      <w:ind w:firstLine="200" w:firstLineChars="200"/>
    </w:pPr>
  </w:style>
  <w:style w:type="paragraph" w:customStyle="1" w:styleId="182">
    <w:name w:val="正文 + 三号"/>
    <w:basedOn w:val="1"/>
    <w:qFormat/>
    <w:uiPriority w:val="0"/>
    <w:rPr>
      <w:sz w:val="21"/>
    </w:rPr>
  </w:style>
  <w:style w:type="paragraph" w:customStyle="1" w:styleId="183">
    <w:name w:val="样式 正文缩进正文（首行缩进两字）表正文正文非缩进特点标题4段1 + 首行缩进:  2 字符"/>
    <w:basedOn w:val="16"/>
    <w:qFormat/>
    <w:uiPriority w:val="0"/>
    <w:pPr>
      <w:ind w:firstLine="200" w:firstLineChars="200"/>
    </w:pPr>
  </w:style>
  <w:style w:type="paragraph" w:customStyle="1" w:styleId="18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185">
    <w:name w:val="样式1"/>
    <w:basedOn w:val="6"/>
    <w:qFormat/>
    <w:uiPriority w:val="0"/>
    <w:pPr>
      <w:tabs>
        <w:tab w:val="left" w:pos="720"/>
      </w:tabs>
      <w:spacing w:before="500" w:after="260" w:line="560" w:lineRule="atLeast"/>
      <w:ind w:left="420" w:hanging="420"/>
    </w:pPr>
  </w:style>
  <w:style w:type="paragraph" w:customStyle="1" w:styleId="186">
    <w:name w:val="样式1xz"/>
    <w:basedOn w:val="1"/>
    <w:qFormat/>
    <w:uiPriority w:val="0"/>
    <w:pPr>
      <w:tabs>
        <w:tab w:val="left" w:pos="1050"/>
        <w:tab w:val="right" w:leader="dot" w:pos="8296"/>
      </w:tabs>
    </w:pPr>
    <w:rPr>
      <w:caps/>
      <w:spacing w:val="20"/>
    </w:rPr>
  </w:style>
  <w:style w:type="paragraph" w:customStyle="1" w:styleId="187">
    <w:name w:val="文档正文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188">
    <w:name w:val="Char Char Char Char Char Char Char1"/>
    <w:basedOn w:val="19"/>
    <w:qFormat/>
    <w:uiPriority w:val="0"/>
    <w:rPr>
      <w:rFonts w:ascii="宋体" w:hAnsi="宋体"/>
    </w:rPr>
  </w:style>
  <w:style w:type="paragraph" w:customStyle="1" w:styleId="189">
    <w:name w:val="段 Char"/>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90">
    <w:name w:val="段落正文"/>
    <w:basedOn w:val="1"/>
    <w:qFormat/>
    <w:uiPriority w:val="0"/>
    <w:pPr>
      <w:spacing w:before="50" w:line="360" w:lineRule="auto"/>
      <w:ind w:firstLine="200" w:firstLineChars="200"/>
    </w:pPr>
    <w:rPr>
      <w:spacing w:val="2"/>
    </w:rPr>
  </w:style>
  <w:style w:type="paragraph" w:customStyle="1" w:styleId="191">
    <w:name w:val="Char1 Char Char Char1"/>
    <w:basedOn w:val="1"/>
    <w:uiPriority w:val="0"/>
    <w:rPr>
      <w:rFonts w:ascii="Tahoma" w:hAnsi="Tahoma"/>
      <w:sz w:val="30"/>
    </w:rPr>
  </w:style>
  <w:style w:type="paragraph" w:customStyle="1" w:styleId="192">
    <w:name w:val="Title - Date"/>
    <w:basedOn w:val="54"/>
    <w:next w:val="1"/>
    <w:qFormat/>
    <w:uiPriority w:val="0"/>
    <w:pPr>
      <w:spacing w:before="240" w:after="720"/>
    </w:pPr>
    <w:rPr>
      <w:sz w:val="28"/>
    </w:rPr>
  </w:style>
  <w:style w:type="paragraph" w:customStyle="1" w:styleId="193">
    <w:name w:val="摘要"/>
    <w:basedOn w:val="1"/>
    <w:next w:val="4"/>
    <w:qFormat/>
    <w:uiPriority w:val="0"/>
    <w:pPr>
      <w:spacing w:line="360" w:lineRule="auto"/>
    </w:pPr>
    <w:rPr>
      <w:rFonts w:eastAsia="黑体"/>
      <w:sz w:val="20"/>
    </w:rPr>
  </w:style>
  <w:style w:type="paragraph" w:customStyle="1" w:styleId="194">
    <w:name w:val="简单回函地址"/>
    <w:basedOn w:val="1"/>
    <w:uiPriority w:val="0"/>
    <w:pPr>
      <w:adjustRightInd w:val="0"/>
      <w:snapToGrid w:val="0"/>
      <w:spacing w:line="360" w:lineRule="auto"/>
    </w:pPr>
  </w:style>
  <w:style w:type="paragraph" w:customStyle="1" w:styleId="195">
    <w:name w:val="列表项目"/>
    <w:basedOn w:val="1"/>
    <w:qFormat/>
    <w:uiPriority w:val="0"/>
    <w:pPr>
      <w:tabs>
        <w:tab w:val="left" w:pos="420"/>
      </w:tabs>
      <w:spacing w:line="288" w:lineRule="auto"/>
      <w:ind w:left="400" w:leftChars="200" w:hanging="200" w:hangingChars="200"/>
    </w:pPr>
    <w:rPr>
      <w:sz w:val="21"/>
    </w:rPr>
  </w:style>
  <w:style w:type="paragraph" w:customStyle="1" w:styleId="19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rPr>
  </w:style>
  <w:style w:type="paragraph" w:customStyle="1" w:styleId="197">
    <w:name w:val="样式 标题 1章标题Heading 0Section HeadPIM 1H1h11st levell11H1..."/>
    <w:basedOn w:val="3"/>
    <w:qFormat/>
    <w:uiPriority w:val="0"/>
    <w:pPr>
      <w:pageBreakBefore/>
      <w:tabs>
        <w:tab w:val="left" w:pos="432"/>
      </w:tabs>
      <w:autoSpaceDE w:val="0"/>
      <w:autoSpaceDN w:val="0"/>
      <w:adjustRightInd w:val="0"/>
      <w:snapToGrid w:val="0"/>
      <w:spacing w:before="340" w:after="330" w:line="578" w:lineRule="atLeast"/>
      <w:textAlignment w:val="bottom"/>
    </w:pPr>
    <w:rPr>
      <w:rFonts w:ascii="宋体" w:hAnsi="宋体" w:eastAsia="黑体"/>
    </w:rPr>
  </w:style>
  <w:style w:type="paragraph" w:customStyle="1" w:styleId="198">
    <w:name w:val="Char Char1"/>
    <w:basedOn w:val="1"/>
    <w:qFormat/>
    <w:uiPriority w:val="0"/>
    <w:pPr>
      <w:widowControl/>
      <w:spacing w:after="160" w:line="240" w:lineRule="exact"/>
      <w:jc w:val="left"/>
    </w:pPr>
    <w:rPr>
      <w:rFonts w:ascii="Verdana" w:hAnsi="Verdana"/>
      <w:kern w:val="0"/>
      <w:sz w:val="20"/>
    </w:rPr>
  </w:style>
  <w:style w:type="paragraph" w:customStyle="1" w:styleId="199">
    <w:name w:val="Char Char Char Char Char Char Char Char Char Char Char Char Char Char Char Char"/>
    <w:basedOn w:val="1"/>
    <w:qFormat/>
    <w:uiPriority w:val="0"/>
    <w:pPr>
      <w:tabs>
        <w:tab w:val="left" w:pos="360"/>
      </w:tabs>
    </w:pPr>
  </w:style>
  <w:style w:type="paragraph" w:customStyle="1" w:styleId="200">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201">
    <w:name w:val="Revision"/>
    <w:qFormat/>
    <w:uiPriority w:val="0"/>
    <w:rPr>
      <w:rFonts w:ascii="Times New Roman" w:hAnsi="Times New Roman" w:eastAsia="宋体" w:cs="Times New Roman"/>
      <w:kern w:val="2"/>
      <w:sz w:val="21"/>
      <w:szCs w:val="20"/>
      <w:lang w:val="en-US" w:eastAsia="zh-CN" w:bidi="ar-SA"/>
    </w:rPr>
  </w:style>
  <w:style w:type="paragraph" w:customStyle="1" w:styleId="202">
    <w:name w:val="正文表格"/>
    <w:basedOn w:val="1"/>
    <w:qFormat/>
    <w:uiPriority w:val="0"/>
    <w:pPr>
      <w:adjustRightInd w:val="0"/>
      <w:spacing w:before="40" w:after="40"/>
    </w:pPr>
  </w:style>
  <w:style w:type="paragraph" w:customStyle="1" w:styleId="203">
    <w:name w:val="Char Char Char"/>
    <w:basedOn w:val="1"/>
    <w:qFormat/>
    <w:uiPriority w:val="0"/>
    <w:rPr>
      <w:rFonts w:ascii="Tahoma" w:hAnsi="Tahoma"/>
    </w:rPr>
  </w:style>
  <w:style w:type="paragraph" w:styleId="204">
    <w:name w:val="List Paragraph"/>
    <w:next w:val="44"/>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05">
    <w:name w:val="没有缩进（为图形使用）"/>
    <w:basedOn w:val="1"/>
    <w:qFormat/>
    <w:uiPriority w:val="0"/>
    <w:pPr>
      <w:spacing w:before="120" w:after="120" w:line="360" w:lineRule="auto"/>
    </w:pPr>
  </w:style>
  <w:style w:type="paragraph" w:customStyle="1" w:styleId="206">
    <w:name w:val="Item Step"/>
    <w:qFormat/>
    <w:uiPriority w:val="0"/>
    <w:pPr>
      <w:tabs>
        <w:tab w:val="left" w:pos="1644"/>
      </w:tabs>
      <w:ind w:left="1644" w:hanging="510"/>
      <w:outlineLvl w:val="4"/>
    </w:pPr>
    <w:rPr>
      <w:rFonts w:ascii="Arial" w:hAnsi="Arial" w:eastAsia="宋体" w:cs="Times New Roman"/>
      <w:kern w:val="0"/>
      <w:sz w:val="21"/>
      <w:szCs w:val="20"/>
      <w:lang w:val="en-US" w:eastAsia="zh-CN" w:bidi="ar-SA"/>
    </w:rPr>
  </w:style>
  <w:style w:type="paragraph" w:customStyle="1" w:styleId="207">
    <w:name w:val="Note"/>
    <w:basedOn w:val="1"/>
    <w:qFormat/>
    <w:uiPriority w:val="0"/>
    <w:pPr>
      <w:pBdr>
        <w:top w:val="single" w:color="auto" w:sz="12" w:space="3"/>
        <w:bottom w:val="single" w:color="auto" w:sz="12" w:space="3"/>
      </w:pBdr>
      <w:spacing w:line="360" w:lineRule="auto"/>
    </w:pPr>
  </w:style>
  <w:style w:type="paragraph" w:customStyle="1" w:styleId="208">
    <w:name w:val="Title - Revision"/>
    <w:basedOn w:val="54"/>
    <w:qFormat/>
    <w:uiPriority w:val="0"/>
    <w:pPr>
      <w:spacing w:before="720"/>
    </w:pPr>
  </w:style>
  <w:style w:type="paragraph" w:customStyle="1" w:styleId="209">
    <w:name w:val="样式 标题 2 + 字距调整二号"/>
    <w:next w:val="1"/>
    <w:qFormat/>
    <w:uiPriority w:val="0"/>
    <w:pPr>
      <w:adjustRightInd w:val="0"/>
      <w:snapToGrid w:val="0"/>
      <w:spacing w:before="60" w:after="60"/>
      <w:jc w:val="both"/>
      <w:outlineLvl w:val="1"/>
    </w:pPr>
    <w:rPr>
      <w:rFonts w:ascii="宋体" w:hAnsi="Times New Roman" w:eastAsia="宋体" w:cs="Times New Roman"/>
      <w:kern w:val="44"/>
      <w:sz w:val="30"/>
      <w:szCs w:val="20"/>
      <w:lang w:val="en-US" w:eastAsia="zh-CN" w:bidi="ar-SA"/>
    </w:rPr>
  </w:style>
  <w:style w:type="paragraph" w:customStyle="1" w:styleId="210">
    <w:name w:val="标题3——2"/>
    <w:basedOn w:val="5"/>
    <w:next w:val="57"/>
    <w:qFormat/>
    <w:uiPriority w:val="0"/>
    <w:pPr>
      <w:tabs>
        <w:tab w:val="left" w:pos="1280"/>
        <w:tab w:val="right" w:leader="dot" w:pos="8777"/>
      </w:tabs>
      <w:spacing w:before="100" w:after="0" w:line="240" w:lineRule="auto"/>
      <w:ind w:left="851" w:hanging="851"/>
      <w:outlineLvl w:val="9"/>
    </w:pPr>
    <w:rPr>
      <w:rFonts w:ascii="黑体" w:eastAsia="黑体"/>
      <w:sz w:val="30"/>
    </w:rPr>
  </w:style>
  <w:style w:type="paragraph" w:customStyle="1" w:styleId="211">
    <w:name w:val="Figure Description"/>
    <w:next w:val="1"/>
    <w:qFormat/>
    <w:uiPriority w:val="0"/>
    <w:pPr>
      <w:snapToGrid w:val="0"/>
      <w:spacing w:before="80" w:after="320"/>
      <w:ind w:left="1134"/>
      <w:jc w:val="center"/>
    </w:pPr>
    <w:rPr>
      <w:rFonts w:ascii="Arial" w:hAnsi="Arial" w:eastAsia="黑体" w:cs="Times New Roman"/>
      <w:kern w:val="0"/>
      <w:sz w:val="18"/>
      <w:szCs w:val="20"/>
      <w:lang w:val="en-US" w:eastAsia="zh-CN" w:bidi="ar-SA"/>
    </w:rPr>
  </w:style>
  <w:style w:type="paragraph" w:customStyle="1" w:styleId="21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3">
    <w:name w:val="样式4"/>
    <w:basedOn w:val="6"/>
    <w:qFormat/>
    <w:uiPriority w:val="0"/>
    <w:pPr>
      <w:adjustRightInd w:val="0"/>
      <w:snapToGrid w:val="0"/>
    </w:pPr>
  </w:style>
  <w:style w:type="paragraph" w:customStyle="1" w:styleId="214">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hAnsi="宋体"/>
      <w:kern w:val="0"/>
      <w:sz w:val="20"/>
    </w:rPr>
  </w:style>
  <w:style w:type="paragraph" w:customStyle="1" w:styleId="215">
    <w:name w:val="默认段落字体 Para Char Char Char Char Char Char Char Char Char1 Char Char Char Char"/>
    <w:basedOn w:val="1"/>
    <w:qFormat/>
    <w:uiPriority w:val="0"/>
    <w:rPr>
      <w:rFonts w:ascii="Tahoma" w:hAnsi="Tahoma"/>
    </w:rPr>
  </w:style>
  <w:style w:type="paragraph" w:customStyle="1" w:styleId="216">
    <w:name w:val="Item Step in Table"/>
    <w:qFormat/>
    <w:uiPriority w:val="0"/>
    <w:pPr>
      <w:tabs>
        <w:tab w:val="left" w:pos="0"/>
        <w:tab w:val="left" w:pos="397"/>
      </w:tabs>
      <w:spacing w:before="40" w:after="40"/>
      <w:jc w:val="both"/>
    </w:pPr>
    <w:rPr>
      <w:rFonts w:ascii="Arial" w:hAnsi="Arial" w:eastAsia="宋体" w:cs="Times New Roman"/>
      <w:kern w:val="0"/>
      <w:sz w:val="18"/>
      <w:szCs w:val="20"/>
      <w:lang w:val="en-US" w:eastAsia="zh-CN" w:bidi="ar-SA"/>
    </w:rPr>
  </w:style>
  <w:style w:type="paragraph" w:customStyle="1" w:styleId="217">
    <w:name w:val="正文缩进1"/>
    <w:next w:val="198"/>
    <w:qFormat/>
    <w:uiPriority w:val="0"/>
    <w:pPr>
      <w:widowControl w:val="0"/>
      <w:ind w:firstLine="200" w:firstLineChars="200"/>
      <w:jc w:val="both"/>
    </w:pPr>
    <w:rPr>
      <w:rFonts w:ascii="Times New Roman" w:hAnsi="Times New Roman" w:eastAsia="宋体" w:cs="Times New Roman"/>
      <w:kern w:val="2"/>
      <w:sz w:val="28"/>
      <w:szCs w:val="20"/>
      <w:lang w:val="en-US" w:eastAsia="zh-CN" w:bidi="ar-SA"/>
    </w:rPr>
  </w:style>
  <w:style w:type="paragraph" w:customStyle="1" w:styleId="218">
    <w:name w:val="正文4"/>
    <w:basedOn w:val="1"/>
    <w:qFormat/>
    <w:uiPriority w:val="0"/>
    <w:pPr>
      <w:tabs>
        <w:tab w:val="left" w:pos="1275"/>
      </w:tabs>
      <w:spacing w:before="60" w:after="60" w:line="360" w:lineRule="auto"/>
      <w:ind w:left="1105" w:leftChars="400" w:hanging="705"/>
    </w:pPr>
  </w:style>
  <w:style w:type="paragraph" w:customStyle="1" w:styleId="219">
    <w:name w:val="È±Ê¡ÎÄ±¾"/>
    <w:basedOn w:val="1"/>
    <w:qFormat/>
    <w:uiPriority w:val="0"/>
    <w:pPr>
      <w:widowControl/>
      <w:overflowPunct w:val="0"/>
      <w:autoSpaceDE w:val="0"/>
      <w:autoSpaceDN w:val="0"/>
      <w:adjustRightInd w:val="0"/>
      <w:jc w:val="left"/>
      <w:textAlignment w:val="baseline"/>
    </w:pPr>
    <w:rPr>
      <w:kern w:val="0"/>
    </w:rPr>
  </w:style>
  <w:style w:type="paragraph" w:customStyle="1" w:styleId="220">
    <w:name w:val="正文文本缩进 21"/>
    <w:basedOn w:val="1"/>
    <w:qFormat/>
    <w:uiPriority w:val="0"/>
    <w:pPr>
      <w:adjustRightInd w:val="0"/>
      <w:spacing w:before="120"/>
      <w:ind w:firstLine="420"/>
      <w:textAlignment w:val="baseline"/>
    </w:pPr>
  </w:style>
  <w:style w:type="paragraph" w:customStyle="1" w:styleId="221">
    <w:name w:val="标准正文"/>
    <w:basedOn w:val="24"/>
    <w:qFormat/>
    <w:uiPriority w:val="0"/>
    <w:pPr>
      <w:spacing w:before="60" w:after="60" w:line="360" w:lineRule="auto"/>
      <w:ind w:left="0" w:firstLine="482"/>
    </w:pPr>
    <w:rPr>
      <w:rFonts w:ascii="Arial" w:hAnsi="Arial"/>
      <w:sz w:val="24"/>
    </w:rPr>
  </w:style>
  <w:style w:type="paragraph" w:customStyle="1" w:styleId="2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lang w:eastAsia="zh-TW"/>
    </w:rPr>
  </w:style>
  <w:style w:type="paragraph" w:customStyle="1" w:styleId="22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rPr>
  </w:style>
  <w:style w:type="paragraph" w:customStyle="1" w:styleId="224">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225">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22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27">
    <w:name w:val="1"/>
    <w:basedOn w:val="1"/>
    <w:next w:val="32"/>
    <w:qFormat/>
    <w:uiPriority w:val="0"/>
    <w:rPr>
      <w:rFonts w:ascii="宋体" w:hAnsi="宋体"/>
      <w:sz w:val="21"/>
    </w:rPr>
  </w:style>
  <w:style w:type="paragraph" w:customStyle="1" w:styleId="228">
    <w:name w:val="可研正文"/>
    <w:basedOn w:val="23"/>
    <w:qFormat/>
    <w:uiPriority w:val="0"/>
    <w:pPr>
      <w:adjustRightInd w:val="0"/>
      <w:snapToGrid w:val="0"/>
      <w:spacing w:line="440" w:lineRule="exact"/>
      <w:ind w:firstLine="567"/>
    </w:pPr>
    <w:rPr>
      <w:sz w:val="28"/>
    </w:rPr>
  </w:style>
  <w:style w:type="paragraph" w:customStyle="1" w:styleId="229">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hAnsi="昆仑楷体" w:eastAsia="楷体_GB2312"/>
      <w:kern w:val="0"/>
      <w:sz w:val="21"/>
    </w:rPr>
  </w:style>
  <w:style w:type="paragraph" w:customStyle="1" w:styleId="230">
    <w:name w:val="Char"/>
    <w:basedOn w:val="1"/>
    <w:qFormat/>
    <w:uiPriority w:val="0"/>
    <w:pPr>
      <w:spacing w:line="240" w:lineRule="atLeast"/>
      <w:ind w:left="420" w:firstLine="420"/>
    </w:pPr>
    <w:rPr>
      <w:kern w:val="0"/>
      <w:sz w:val="21"/>
    </w:rPr>
  </w:style>
  <w:style w:type="paragraph" w:customStyle="1" w:styleId="231">
    <w:name w:val="tabletex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32">
    <w:name w:val="首行缩进 1"/>
    <w:basedOn w:val="1"/>
    <w:qFormat/>
    <w:uiPriority w:val="0"/>
    <w:pPr>
      <w:spacing w:after="120" w:line="360" w:lineRule="auto"/>
      <w:ind w:firstLine="200" w:firstLineChars="200"/>
    </w:pPr>
  </w:style>
  <w:style w:type="paragraph" w:customStyle="1" w:styleId="233">
    <w:name w:val="Style Heading 3h3Heading 3 - oldLevel 3 HeadH3level_3PIM 3se..."/>
    <w:basedOn w:val="5"/>
    <w:qFormat/>
    <w:uiPriority w:val="0"/>
    <w:pPr>
      <w:tabs>
        <w:tab w:val="left" w:pos="709"/>
        <w:tab w:val="left" w:pos="1620"/>
      </w:tabs>
      <w:ind w:left="1620" w:hanging="360"/>
    </w:pPr>
  </w:style>
  <w:style w:type="paragraph" w:customStyle="1" w:styleId="234">
    <w:name w:val="表头样式"/>
    <w:basedOn w:val="1"/>
    <w:qFormat/>
    <w:uiPriority w:val="0"/>
    <w:pPr>
      <w:autoSpaceDE w:val="0"/>
      <w:autoSpaceDN w:val="0"/>
      <w:adjustRightInd w:val="0"/>
      <w:spacing w:line="360" w:lineRule="auto"/>
      <w:jc w:val="left"/>
    </w:pPr>
    <w:rPr>
      <w:b/>
      <w:kern w:val="0"/>
      <w:sz w:val="21"/>
    </w:rPr>
  </w:style>
  <w:style w:type="paragraph" w:customStyle="1" w:styleId="235">
    <w:name w:val="Char Char Char Char Char Char1 Char"/>
    <w:basedOn w:val="1"/>
    <w:qFormat/>
    <w:uiPriority w:val="0"/>
    <w:pPr>
      <w:widowControl/>
      <w:spacing w:after="160" w:line="240" w:lineRule="exact"/>
      <w:jc w:val="left"/>
    </w:pPr>
    <w:rPr>
      <w:rFonts w:ascii="Verdana" w:hAnsi="Verdana"/>
      <w:kern w:val="0"/>
      <w:sz w:val="21"/>
    </w:rPr>
  </w:style>
  <w:style w:type="paragraph" w:customStyle="1" w:styleId="236">
    <w:name w:val="IN Feature"/>
    <w:next w:val="226"/>
    <w:qFormat/>
    <w:uiPriority w:val="0"/>
    <w:pPr>
      <w:keepNext/>
      <w:keepLines/>
      <w:spacing w:before="240" w:after="240"/>
      <w:outlineLvl w:val="7"/>
    </w:pPr>
    <w:rPr>
      <w:rFonts w:ascii="Arial" w:hAnsi="Arial" w:eastAsia="黑体" w:cs="Times New Roman"/>
      <w:kern w:val="0"/>
      <w:sz w:val="21"/>
      <w:szCs w:val="20"/>
      <w:lang w:val="en-US" w:eastAsia="zh-CN" w:bidi="ar-SA"/>
    </w:rPr>
  </w:style>
  <w:style w:type="paragraph" w:customStyle="1" w:styleId="237">
    <w:name w:val="文章正文"/>
    <w:basedOn w:val="1"/>
    <w:qFormat/>
    <w:uiPriority w:val="0"/>
    <w:pPr>
      <w:ind w:firstLine="200" w:firstLineChars="200"/>
    </w:pPr>
    <w:rPr>
      <w:rFonts w:ascii="仿宋_GB2312" w:eastAsia="仿宋_GB2312"/>
      <w:color w:val="000000"/>
    </w:rPr>
  </w:style>
  <w:style w:type="paragraph" w:customStyle="1" w:styleId="238">
    <w:name w:val="Table Description"/>
    <w:next w:val="1"/>
    <w:qFormat/>
    <w:uiPriority w:val="0"/>
    <w:pPr>
      <w:keepNext/>
      <w:snapToGrid w:val="0"/>
      <w:spacing w:before="160" w:after="80"/>
      <w:ind w:left="1134"/>
      <w:jc w:val="center"/>
    </w:pPr>
    <w:rPr>
      <w:rFonts w:ascii="Arial" w:hAnsi="Arial" w:eastAsia="黑体" w:cs="Times New Roman"/>
      <w:kern w:val="0"/>
      <w:sz w:val="18"/>
      <w:szCs w:val="20"/>
      <w:lang w:val="en-US" w:eastAsia="zh-CN" w:bidi="ar-SA"/>
    </w:rPr>
  </w:style>
  <w:style w:type="paragraph" w:customStyle="1" w:styleId="239">
    <w:name w:val="二级列表"/>
    <w:basedOn w:val="190"/>
    <w:next w:val="190"/>
    <w:qFormat/>
    <w:uiPriority w:val="0"/>
    <w:pPr>
      <w:tabs>
        <w:tab w:val="left" w:pos="2120"/>
      </w:tabs>
      <w:ind w:firstLine="0" w:firstLineChars="0"/>
    </w:pPr>
    <w:rPr>
      <w:b/>
    </w:rPr>
  </w:style>
  <w:style w:type="paragraph" w:customStyle="1" w:styleId="240">
    <w:name w:val="文本1"/>
    <w:basedOn w:val="1"/>
    <w:qFormat/>
    <w:uiPriority w:val="0"/>
    <w:pPr>
      <w:adjustRightInd w:val="0"/>
      <w:spacing w:line="312" w:lineRule="atLeast"/>
      <w:jc w:val="center"/>
      <w:textAlignment w:val="baseline"/>
    </w:pPr>
    <w:rPr>
      <w:kern w:val="0"/>
      <w:sz w:val="18"/>
    </w:rPr>
  </w:style>
  <w:style w:type="paragraph" w:customStyle="1" w:styleId="241">
    <w:name w:val="文档正文 Char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242">
    <w:name w:val="Char2 Char Char Char Char Char Char"/>
    <w:basedOn w:val="1"/>
    <w:qFormat/>
    <w:uiPriority w:val="0"/>
    <w:rPr>
      <w:rFonts w:ascii="仿宋_GB2312" w:hAnsi="仿宋_GB2312"/>
      <w:b/>
      <w:sz w:val="30"/>
    </w:rPr>
  </w:style>
  <w:style w:type="paragraph" w:customStyle="1" w:styleId="243">
    <w:name w:val="Char Char Char Char Char"/>
    <w:basedOn w:val="1"/>
    <w:qFormat/>
    <w:uiPriority w:val="0"/>
    <w:pPr>
      <w:tabs>
        <w:tab w:val="left" w:pos="425"/>
      </w:tabs>
      <w:ind w:left="1620" w:hanging="360"/>
    </w:pPr>
    <w:rPr>
      <w:rFonts w:ascii="Tahoma" w:hAnsi="Tahoma"/>
    </w:rPr>
  </w:style>
  <w:style w:type="paragraph" w:customStyle="1" w:styleId="244">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245">
    <w:name w:val="图例"/>
    <w:qFormat/>
    <w:uiPriority w:val="0"/>
    <w:pPr>
      <w:widowControl w:val="0"/>
      <w:spacing w:before="120" w:after="120" w:line="360" w:lineRule="auto"/>
      <w:jc w:val="center"/>
    </w:pPr>
    <w:rPr>
      <w:rFonts w:ascii="Times New Roman" w:hAnsi="Times New Roman" w:eastAsia="仿宋_GB2312" w:cs="Times New Roman"/>
      <w:b/>
      <w:kern w:val="2"/>
      <w:sz w:val="24"/>
      <w:szCs w:val="20"/>
      <w:lang w:val="en-US" w:eastAsia="zh-CN" w:bidi="ar-SA"/>
    </w:rPr>
  </w:style>
  <w:style w:type="paragraph" w:customStyle="1" w:styleId="246">
    <w:name w:val="Char2"/>
    <w:basedOn w:val="1"/>
    <w:qFormat/>
    <w:uiPriority w:val="0"/>
    <w:pPr>
      <w:spacing w:line="240" w:lineRule="atLeast"/>
      <w:ind w:left="420" w:firstLine="420"/>
    </w:pPr>
    <w:rPr>
      <w:kern w:val="0"/>
      <w:sz w:val="21"/>
    </w:rPr>
  </w:style>
  <w:style w:type="paragraph" w:customStyle="1" w:styleId="247">
    <w:name w:val="Item List"/>
    <w:qFormat/>
    <w:uiPriority w:val="0"/>
    <w:pPr>
      <w:tabs>
        <w:tab w:val="left" w:pos="1644"/>
      </w:tabs>
      <w:spacing w:line="300" w:lineRule="auto"/>
      <w:ind w:left="1644" w:hanging="510"/>
      <w:jc w:val="both"/>
    </w:pPr>
    <w:rPr>
      <w:rFonts w:ascii="Arial" w:hAnsi="Arial" w:eastAsia="宋体" w:cs="Times New Roman"/>
      <w:kern w:val="0"/>
      <w:sz w:val="21"/>
      <w:szCs w:val="20"/>
      <w:lang w:val="en-US" w:eastAsia="zh-CN" w:bidi="ar-SA"/>
    </w:rPr>
  </w:style>
  <w:style w:type="paragraph" w:customStyle="1" w:styleId="248">
    <w:name w:val="xl23"/>
    <w:basedOn w:val="1"/>
    <w:qFormat/>
    <w:uiPriority w:val="0"/>
    <w:pPr>
      <w:widowControl/>
      <w:spacing w:before="100" w:beforeAutospacing="1" w:after="100" w:afterAutospacing="1" w:line="360" w:lineRule="auto"/>
      <w:textAlignment w:val="top"/>
    </w:pPr>
    <w:rPr>
      <w:kern w:val="0"/>
    </w:rPr>
  </w:style>
  <w:style w:type="paragraph" w:customStyle="1" w:styleId="249">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rPr>
  </w:style>
  <w:style w:type="paragraph" w:customStyle="1" w:styleId="25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251">
    <w:name w:val="普通正文"/>
    <w:next w:val="177"/>
    <w:qFormat/>
    <w:uiPriority w:val="0"/>
    <w:pPr>
      <w:widowControl w:val="0"/>
      <w:adjustRightInd w:val="0"/>
      <w:spacing w:before="120" w:after="120" w:line="360" w:lineRule="auto"/>
      <w:ind w:firstLine="480"/>
      <w:textAlignment w:val="baseline"/>
    </w:pPr>
    <w:rPr>
      <w:rFonts w:ascii="Arial" w:hAnsi="Arial" w:eastAsia="宋体" w:cs="Times New Roman"/>
      <w:kern w:val="0"/>
      <w:sz w:val="24"/>
      <w:szCs w:val="20"/>
      <w:lang w:val="en-US" w:eastAsia="zh-CN" w:bidi="ar-SA"/>
    </w:rPr>
  </w:style>
  <w:style w:type="paragraph" w:customStyle="1" w:styleId="252">
    <w:name w:val="样式 首行缩进:  0.74 厘米"/>
    <w:basedOn w:val="1"/>
    <w:qFormat/>
    <w:uiPriority w:val="0"/>
    <w:pPr>
      <w:spacing w:line="360" w:lineRule="auto"/>
      <w:ind w:firstLine="420"/>
    </w:pPr>
  </w:style>
  <w:style w:type="paragraph" w:customStyle="1" w:styleId="253">
    <w:name w:val="关键词"/>
    <w:basedOn w:val="1"/>
    <w:next w:val="1"/>
    <w:qFormat/>
    <w:uiPriority w:val="0"/>
    <w:pPr>
      <w:spacing w:line="360" w:lineRule="auto"/>
    </w:pPr>
    <w:rPr>
      <w:rFonts w:eastAsia="黑体"/>
      <w:sz w:val="20"/>
    </w:rPr>
  </w:style>
  <w:style w:type="paragraph" w:customStyle="1" w:styleId="254">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255">
    <w:name w:val="Table Contents"/>
    <w:basedOn w:val="23"/>
    <w:qFormat/>
    <w:uiPriority w:val="0"/>
    <w:pPr>
      <w:suppressAutoHyphens/>
      <w:jc w:val="left"/>
    </w:pPr>
    <w:rPr>
      <w:rFonts w:ascii="Times New Roman" w:eastAsia="Times New Roman"/>
      <w:kern w:val="0"/>
      <w:sz w:val="24"/>
    </w:rPr>
  </w:style>
  <w:style w:type="paragraph" w:customStyle="1" w:styleId="256">
    <w:name w:val="列出段落1"/>
    <w:next w:val="17"/>
    <w:qFormat/>
    <w:uiPriority w:val="0"/>
    <w:pPr>
      <w:widowControl w:val="0"/>
      <w:spacing w:line="440" w:lineRule="exact"/>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11402</Words>
  <Characters>11826</Characters>
  <Lines>95</Lines>
  <Paragraphs>26</Paragraphs>
  <TotalTime>0</TotalTime>
  <ScaleCrop>false</ScaleCrop>
  <LinksUpToDate>false</LinksUpToDate>
  <CharactersWithSpaces>13072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2022-11-06T15:33:00Z</dcterms:created>
  <dc:creator>305pc</dc:creator>
  <cp:lastModifiedBy>HAHA</cp:lastModifiedBy>
  <dcterms:modified xsi:type="dcterms:W3CDTF">2022-11-08T02:28:52Z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6D02CD56638342FA9D4054A0530ED48C</vt:lpwstr>
  </property>
</Properties>
</file>