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rFonts w:ascii="宋体" w:hAnsi="宋体" w:cs="宋体"/>
          <w:b/>
          <w:bCs/>
          <w:sz w:val="32"/>
          <w:szCs w:val="32"/>
        </w:rPr>
      </w:pPr>
      <w:bookmarkStart w:id="0" w:name="_Toc233426752"/>
      <w:bookmarkStart w:id="1" w:name="_Toc228639156"/>
      <w:bookmarkStart w:id="2" w:name="_Toc185047336"/>
      <w:r>
        <w:rPr>
          <w:rFonts w:hint="eastAsia" w:ascii="宋体" w:hAnsi="宋体" w:cs="宋体"/>
          <w:b/>
          <w:bCs/>
          <w:sz w:val="32"/>
          <w:szCs w:val="32"/>
        </w:rPr>
        <w:t>江津区2022年XXX片区丘陵山区高标准农田改造提升示范项目智慧化系统设备采购及安装合同</w:t>
      </w:r>
    </w:p>
    <w:p>
      <w:pPr>
        <w:pStyle w:val="15"/>
        <w:spacing w:before="0" w:after="0" w:line="360" w:lineRule="auto"/>
        <w:ind w:firstLine="420" w:firstLineChars="200"/>
        <w:rPr>
          <w:rFonts w:hAnsi="宋体" w:cs="宋体"/>
          <w:snapToGrid w:val="0"/>
          <w:sz w:val="21"/>
          <w:szCs w:val="21"/>
        </w:rPr>
      </w:pPr>
      <w:r>
        <w:rPr>
          <w:rFonts w:hint="eastAsia" w:hAnsi="宋体" w:cs="宋体"/>
          <w:snapToGrid w:val="0"/>
          <w:sz w:val="21"/>
          <w:szCs w:val="21"/>
        </w:rPr>
        <w:t xml:space="preserve">甲方： </w:t>
      </w:r>
    </w:p>
    <w:p>
      <w:pPr>
        <w:pStyle w:val="15"/>
        <w:spacing w:before="0" w:after="0" w:line="360" w:lineRule="auto"/>
        <w:ind w:firstLine="420" w:firstLineChars="200"/>
        <w:rPr>
          <w:rFonts w:hAnsi="宋体" w:cs="宋体"/>
          <w:snapToGrid w:val="0"/>
          <w:sz w:val="21"/>
          <w:szCs w:val="21"/>
        </w:rPr>
      </w:pPr>
      <w:r>
        <w:rPr>
          <w:rFonts w:hint="eastAsia" w:hAnsi="宋体" w:cs="宋体"/>
          <w:snapToGrid w:val="0"/>
          <w:sz w:val="21"/>
          <w:szCs w:val="21"/>
        </w:rPr>
        <w:t>地址：</w:t>
      </w:r>
    </w:p>
    <w:p>
      <w:pPr>
        <w:pStyle w:val="15"/>
        <w:spacing w:before="0" w:after="0" w:line="360" w:lineRule="auto"/>
        <w:ind w:firstLine="420" w:firstLineChars="200"/>
        <w:rPr>
          <w:rFonts w:hAnsi="宋体" w:cs="宋体"/>
          <w:snapToGrid w:val="0"/>
          <w:sz w:val="21"/>
          <w:szCs w:val="21"/>
        </w:rPr>
      </w:pPr>
      <w:r>
        <w:rPr>
          <w:rFonts w:hint="eastAsia" w:hAnsi="宋体" w:cs="宋体"/>
          <w:snapToGrid w:val="0"/>
          <w:sz w:val="21"/>
          <w:szCs w:val="21"/>
        </w:rPr>
        <w:t>联系方式：</w:t>
      </w:r>
    </w:p>
    <w:p>
      <w:pPr>
        <w:pStyle w:val="15"/>
        <w:spacing w:before="0" w:after="0" w:line="360" w:lineRule="auto"/>
        <w:ind w:firstLine="420" w:firstLineChars="200"/>
        <w:rPr>
          <w:rFonts w:hAnsi="宋体" w:cs="宋体"/>
          <w:snapToGrid w:val="0"/>
          <w:sz w:val="21"/>
          <w:szCs w:val="21"/>
        </w:rPr>
      </w:pPr>
    </w:p>
    <w:p>
      <w:pPr>
        <w:pStyle w:val="15"/>
        <w:spacing w:before="0" w:after="0" w:line="360" w:lineRule="auto"/>
        <w:ind w:firstLine="420" w:firstLineChars="200"/>
        <w:rPr>
          <w:rFonts w:hAnsi="宋体" w:cs="宋体"/>
          <w:b/>
          <w:snapToGrid w:val="0"/>
          <w:sz w:val="21"/>
          <w:szCs w:val="21"/>
        </w:rPr>
      </w:pPr>
      <w:r>
        <w:rPr>
          <w:rFonts w:hint="eastAsia" w:hAnsi="宋体" w:cs="宋体"/>
          <w:snapToGrid w:val="0"/>
          <w:sz w:val="21"/>
          <w:szCs w:val="21"/>
        </w:rPr>
        <w:t>乙方：</w:t>
      </w:r>
    </w:p>
    <w:p>
      <w:pPr>
        <w:pStyle w:val="15"/>
        <w:spacing w:before="0" w:after="0" w:line="360" w:lineRule="auto"/>
        <w:ind w:firstLine="420" w:firstLineChars="200"/>
        <w:rPr>
          <w:rFonts w:hAnsi="宋体" w:cs="宋体"/>
          <w:snapToGrid w:val="0"/>
          <w:color w:val="auto"/>
          <w:sz w:val="21"/>
          <w:szCs w:val="21"/>
        </w:rPr>
      </w:pPr>
      <w:r>
        <w:rPr>
          <w:rFonts w:hint="eastAsia" w:hAnsi="宋体" w:cs="宋体"/>
          <w:snapToGrid w:val="0"/>
          <w:sz w:val="21"/>
          <w:szCs w:val="21"/>
        </w:rPr>
        <w:t>地址</w:t>
      </w:r>
      <w:r>
        <w:rPr>
          <w:rFonts w:hint="eastAsia" w:hAnsi="宋体" w:cs="宋体"/>
          <w:snapToGrid w:val="0"/>
          <w:color w:val="auto"/>
          <w:sz w:val="21"/>
          <w:szCs w:val="21"/>
        </w:rPr>
        <w:t>：</w:t>
      </w:r>
    </w:p>
    <w:p>
      <w:pPr>
        <w:pStyle w:val="15"/>
        <w:spacing w:before="0" w:after="0" w:line="360" w:lineRule="auto"/>
        <w:ind w:firstLine="420" w:firstLineChars="200"/>
        <w:rPr>
          <w:rFonts w:hint="eastAsia" w:hAnsi="宋体" w:cs="宋体"/>
          <w:snapToGrid w:val="0"/>
          <w:color w:val="auto"/>
          <w:sz w:val="21"/>
          <w:szCs w:val="21"/>
        </w:rPr>
      </w:pPr>
      <w:r>
        <w:rPr>
          <w:rFonts w:hint="eastAsia" w:hAnsi="宋体" w:cs="宋体"/>
          <w:snapToGrid w:val="0"/>
          <w:color w:val="auto"/>
          <w:sz w:val="21"/>
          <w:szCs w:val="21"/>
        </w:rPr>
        <w:t>联系方式：</w:t>
      </w:r>
    </w:p>
    <w:p>
      <w:pPr>
        <w:ind w:firstLine="420" w:firstLineChars="200"/>
        <w:rPr>
          <w:rFonts w:ascii="宋体" w:hAnsi="宋体" w:cs="宋体"/>
          <w:b/>
          <w:snapToGrid w:val="0"/>
          <w:color w:val="auto"/>
          <w:kern w:val="0"/>
          <w:szCs w:val="21"/>
        </w:rPr>
      </w:pPr>
      <w:r>
        <w:rPr>
          <w:rFonts w:hint="eastAsia" w:ascii="宋体" w:hAnsi="宋体" w:cs="宋体"/>
          <w:snapToGrid w:val="0"/>
          <w:color w:val="auto"/>
          <w:kern w:val="0"/>
          <w:szCs w:val="21"/>
        </w:rPr>
        <w:t>合同签订地：</w:t>
      </w:r>
    </w:p>
    <w:p>
      <w:pPr>
        <w:ind w:firstLine="560"/>
        <w:rPr>
          <w:rFonts w:ascii="宋体" w:hAnsi="宋体" w:cs="宋体"/>
          <w:snapToGrid w:val="0"/>
          <w:color w:val="auto"/>
          <w:kern w:val="0"/>
          <w:szCs w:val="21"/>
        </w:rPr>
      </w:pPr>
    </w:p>
    <w:p>
      <w:pPr>
        <w:spacing w:line="360" w:lineRule="auto"/>
        <w:ind w:firstLine="560"/>
        <w:rPr>
          <w:rFonts w:ascii="宋体" w:hAnsi="宋体" w:cs="宋体"/>
          <w:snapToGrid w:val="0"/>
          <w:color w:val="auto"/>
          <w:kern w:val="0"/>
          <w:szCs w:val="21"/>
        </w:rPr>
      </w:pPr>
      <w:r>
        <w:rPr>
          <w:rFonts w:hint="eastAsia" w:ascii="宋体" w:hAnsi="宋体" w:cs="宋体"/>
          <w:snapToGrid w:val="0"/>
          <w:color w:val="auto"/>
          <w:szCs w:val="21"/>
        </w:rPr>
        <w:t>根据《民法典》的规定，为明确双方权利、义务和责任，</w:t>
      </w:r>
      <w:r>
        <w:rPr>
          <w:rFonts w:hint="eastAsia" w:ascii="宋体" w:hAnsi="宋体" w:cs="宋体"/>
          <w:snapToGrid w:val="0"/>
          <w:color w:val="auto"/>
          <w:kern w:val="0"/>
          <w:szCs w:val="21"/>
        </w:rPr>
        <w:t>经友好协商，甲方同意乙方作为其项目的供货服务商。甲、乙双方就有关内容协商一致，达成如下协议，以兹遵守。</w:t>
      </w:r>
    </w:p>
    <w:p>
      <w:pPr>
        <w:spacing w:line="360" w:lineRule="auto"/>
        <w:ind w:firstLine="557"/>
        <w:rPr>
          <w:rFonts w:ascii="宋体" w:hAnsi="宋体" w:cs="宋体"/>
          <w:b/>
          <w:snapToGrid w:val="0"/>
          <w:color w:val="auto"/>
          <w:kern w:val="0"/>
          <w:szCs w:val="21"/>
        </w:rPr>
      </w:pPr>
      <w:r>
        <w:rPr>
          <w:rFonts w:hint="eastAsia" w:ascii="宋体" w:hAnsi="宋体" w:cs="宋体"/>
          <w:b/>
          <w:snapToGrid w:val="0"/>
          <w:color w:val="auto"/>
          <w:kern w:val="0"/>
          <w:szCs w:val="21"/>
        </w:rPr>
        <w:t>第一条   合同标的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9"/>
        <w:gridCol w:w="1312"/>
        <w:gridCol w:w="1021"/>
        <w:gridCol w:w="728"/>
        <w:gridCol w:w="1456"/>
        <w:gridCol w:w="1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19" w:type="pct"/>
            <w:gridSpan w:val="2"/>
            <w:vAlign w:val="center"/>
          </w:tcPr>
          <w:p>
            <w:pPr>
              <w:spacing w:afterLines="50" w:line="420" w:lineRule="exact"/>
              <w:jc w:val="center"/>
              <w:rPr>
                <w:b/>
                <w:bCs/>
                <w:color w:val="auto"/>
                <w:spacing w:val="-4"/>
              </w:rPr>
            </w:pPr>
            <w:bookmarkStart w:id="3" w:name="_Toc8096"/>
            <w:r>
              <w:rPr>
                <w:rFonts w:hint="eastAsia"/>
                <w:b/>
                <w:bCs/>
                <w:color w:val="auto"/>
                <w:spacing w:val="-4"/>
              </w:rPr>
              <w:t>设备/系统名称</w:t>
            </w:r>
            <w:bookmarkEnd w:id="3"/>
          </w:p>
        </w:tc>
        <w:tc>
          <w:tcPr>
            <w:tcW w:w="599" w:type="pct"/>
            <w:vAlign w:val="center"/>
          </w:tcPr>
          <w:p>
            <w:pPr>
              <w:spacing w:afterLines="50" w:line="420" w:lineRule="exact"/>
              <w:jc w:val="center"/>
              <w:rPr>
                <w:b/>
                <w:bCs/>
                <w:color w:val="auto"/>
                <w:spacing w:val="-4"/>
              </w:rPr>
            </w:pPr>
            <w:bookmarkStart w:id="4" w:name="_Toc10876"/>
            <w:r>
              <w:rPr>
                <w:rFonts w:hint="eastAsia"/>
                <w:b/>
                <w:bCs/>
                <w:color w:val="auto"/>
                <w:spacing w:val="-4"/>
              </w:rPr>
              <w:t>单位</w:t>
            </w:r>
            <w:bookmarkEnd w:id="4"/>
          </w:p>
        </w:tc>
        <w:tc>
          <w:tcPr>
            <w:tcW w:w="427" w:type="pct"/>
            <w:vAlign w:val="center"/>
          </w:tcPr>
          <w:p>
            <w:pPr>
              <w:spacing w:afterLines="50" w:line="420" w:lineRule="exact"/>
              <w:jc w:val="center"/>
              <w:rPr>
                <w:b/>
                <w:bCs/>
                <w:color w:val="auto"/>
                <w:spacing w:val="-4"/>
              </w:rPr>
            </w:pPr>
            <w:bookmarkStart w:id="5" w:name="_Toc9380"/>
            <w:r>
              <w:rPr>
                <w:rFonts w:hint="eastAsia"/>
                <w:b/>
                <w:bCs/>
                <w:color w:val="auto"/>
                <w:spacing w:val="-4"/>
              </w:rPr>
              <w:t>数量</w:t>
            </w:r>
            <w:bookmarkEnd w:id="5"/>
          </w:p>
        </w:tc>
        <w:tc>
          <w:tcPr>
            <w:tcW w:w="854" w:type="pct"/>
            <w:vAlign w:val="center"/>
          </w:tcPr>
          <w:p>
            <w:pPr>
              <w:spacing w:afterLines="50" w:line="420" w:lineRule="exact"/>
              <w:jc w:val="center"/>
              <w:rPr>
                <w:b/>
                <w:bCs/>
                <w:color w:val="auto"/>
                <w:spacing w:val="-4"/>
              </w:rPr>
            </w:pPr>
            <w:bookmarkStart w:id="6" w:name="_Toc19362"/>
            <w:r>
              <w:rPr>
                <w:rFonts w:hint="eastAsia"/>
                <w:b/>
                <w:bCs/>
                <w:color w:val="auto"/>
                <w:spacing w:val="-4"/>
              </w:rPr>
              <w:t>单价</w:t>
            </w:r>
            <w:bookmarkEnd w:id="6"/>
            <w:r>
              <w:rPr>
                <w:rFonts w:hint="eastAsia"/>
                <w:b/>
                <w:bCs/>
                <w:color w:val="auto"/>
                <w:spacing w:val="-4"/>
              </w:rPr>
              <w:t>（元）</w:t>
            </w:r>
          </w:p>
        </w:tc>
        <w:tc>
          <w:tcPr>
            <w:tcW w:w="901" w:type="pct"/>
            <w:vAlign w:val="center"/>
          </w:tcPr>
          <w:p>
            <w:pPr>
              <w:spacing w:afterLines="50" w:line="420" w:lineRule="exact"/>
              <w:jc w:val="center"/>
              <w:rPr>
                <w:b/>
                <w:bCs/>
                <w:color w:val="auto"/>
                <w:spacing w:val="-4"/>
              </w:rPr>
            </w:pPr>
            <w:bookmarkStart w:id="7" w:name="_Toc9525"/>
            <w:r>
              <w:rPr>
                <w:rFonts w:hint="eastAsia"/>
                <w:b/>
                <w:bCs/>
                <w:color w:val="auto"/>
                <w:spacing w:val="-4"/>
              </w:rPr>
              <w:t>总价（元）</w:t>
            </w:r>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19" w:type="pct"/>
            <w:gridSpan w:val="2"/>
            <w:vAlign w:val="center"/>
          </w:tcPr>
          <w:p>
            <w:pPr>
              <w:spacing w:afterLines="50" w:line="420" w:lineRule="exact"/>
              <w:jc w:val="center"/>
              <w:rPr>
                <w:color w:val="auto"/>
                <w:spacing w:val="-4"/>
              </w:rPr>
            </w:pPr>
          </w:p>
        </w:tc>
        <w:tc>
          <w:tcPr>
            <w:tcW w:w="599" w:type="pct"/>
            <w:vAlign w:val="center"/>
          </w:tcPr>
          <w:p>
            <w:pPr>
              <w:spacing w:afterLines="50" w:line="420" w:lineRule="exact"/>
              <w:jc w:val="center"/>
              <w:rPr>
                <w:color w:val="auto"/>
              </w:rPr>
            </w:pPr>
          </w:p>
        </w:tc>
        <w:tc>
          <w:tcPr>
            <w:tcW w:w="427" w:type="pct"/>
            <w:vAlign w:val="center"/>
          </w:tcPr>
          <w:p>
            <w:pPr>
              <w:spacing w:afterLines="50" w:line="420" w:lineRule="exact"/>
              <w:jc w:val="center"/>
              <w:rPr>
                <w:color w:val="auto"/>
              </w:rPr>
            </w:pPr>
          </w:p>
        </w:tc>
        <w:tc>
          <w:tcPr>
            <w:tcW w:w="854" w:type="pct"/>
            <w:vAlign w:val="center"/>
          </w:tcPr>
          <w:p>
            <w:pPr>
              <w:spacing w:afterLines="50" w:line="420" w:lineRule="exact"/>
              <w:jc w:val="center"/>
              <w:rPr>
                <w:color w:val="auto"/>
              </w:rPr>
            </w:pPr>
          </w:p>
        </w:tc>
        <w:tc>
          <w:tcPr>
            <w:tcW w:w="901" w:type="pct"/>
            <w:vAlign w:val="center"/>
          </w:tcPr>
          <w:p>
            <w:pPr>
              <w:spacing w:afterLines="50" w:line="420" w:lineRule="exact"/>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19" w:type="pct"/>
            <w:gridSpan w:val="2"/>
            <w:vAlign w:val="center"/>
          </w:tcPr>
          <w:p>
            <w:pPr>
              <w:spacing w:afterLines="50" w:line="420" w:lineRule="exact"/>
              <w:jc w:val="center"/>
              <w:rPr>
                <w:color w:val="auto"/>
                <w:spacing w:val="-4"/>
              </w:rPr>
            </w:pPr>
          </w:p>
        </w:tc>
        <w:tc>
          <w:tcPr>
            <w:tcW w:w="599" w:type="pct"/>
            <w:vAlign w:val="center"/>
          </w:tcPr>
          <w:p>
            <w:pPr>
              <w:spacing w:afterLines="50" w:line="420" w:lineRule="exact"/>
              <w:jc w:val="center"/>
              <w:rPr>
                <w:color w:val="auto"/>
                <w:spacing w:val="-4"/>
              </w:rPr>
            </w:pPr>
          </w:p>
        </w:tc>
        <w:tc>
          <w:tcPr>
            <w:tcW w:w="427" w:type="pct"/>
          </w:tcPr>
          <w:p>
            <w:pPr>
              <w:spacing w:afterLines="50" w:line="420" w:lineRule="exact"/>
              <w:jc w:val="center"/>
              <w:rPr>
                <w:color w:val="auto"/>
                <w:spacing w:val="-4"/>
              </w:rPr>
            </w:pPr>
          </w:p>
        </w:tc>
        <w:tc>
          <w:tcPr>
            <w:tcW w:w="854" w:type="pct"/>
            <w:vAlign w:val="center"/>
          </w:tcPr>
          <w:p>
            <w:pPr>
              <w:spacing w:afterLines="50" w:line="420" w:lineRule="exact"/>
              <w:jc w:val="center"/>
              <w:rPr>
                <w:color w:val="auto"/>
                <w:spacing w:val="-4"/>
              </w:rPr>
            </w:pPr>
          </w:p>
        </w:tc>
        <w:tc>
          <w:tcPr>
            <w:tcW w:w="901" w:type="pct"/>
            <w:vAlign w:val="center"/>
          </w:tcPr>
          <w:p>
            <w:pPr>
              <w:spacing w:afterLines="50" w:line="420" w:lineRule="exact"/>
              <w:jc w:val="center"/>
              <w:rPr>
                <w:color w:val="auto"/>
                <w:spacing w:val="-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19" w:type="pct"/>
            <w:gridSpan w:val="2"/>
            <w:vAlign w:val="center"/>
          </w:tcPr>
          <w:p>
            <w:pPr>
              <w:spacing w:afterLines="50" w:line="420" w:lineRule="exact"/>
              <w:jc w:val="center"/>
              <w:rPr>
                <w:color w:val="auto"/>
                <w:spacing w:val="-4"/>
              </w:rPr>
            </w:pPr>
          </w:p>
        </w:tc>
        <w:tc>
          <w:tcPr>
            <w:tcW w:w="599" w:type="pct"/>
            <w:vAlign w:val="center"/>
          </w:tcPr>
          <w:p>
            <w:pPr>
              <w:spacing w:afterLines="50" w:line="420" w:lineRule="exact"/>
              <w:jc w:val="center"/>
              <w:rPr>
                <w:color w:val="auto"/>
                <w:spacing w:val="-4"/>
              </w:rPr>
            </w:pPr>
          </w:p>
        </w:tc>
        <w:tc>
          <w:tcPr>
            <w:tcW w:w="427" w:type="pct"/>
          </w:tcPr>
          <w:p>
            <w:pPr>
              <w:spacing w:afterLines="50" w:line="420" w:lineRule="exact"/>
              <w:jc w:val="center"/>
              <w:rPr>
                <w:color w:val="auto"/>
                <w:spacing w:val="-4"/>
              </w:rPr>
            </w:pPr>
          </w:p>
        </w:tc>
        <w:tc>
          <w:tcPr>
            <w:tcW w:w="854" w:type="pct"/>
            <w:vAlign w:val="center"/>
          </w:tcPr>
          <w:p>
            <w:pPr>
              <w:spacing w:afterLines="50" w:line="420" w:lineRule="exact"/>
              <w:jc w:val="center"/>
              <w:rPr>
                <w:color w:val="auto"/>
                <w:spacing w:val="-4"/>
              </w:rPr>
            </w:pPr>
          </w:p>
        </w:tc>
        <w:tc>
          <w:tcPr>
            <w:tcW w:w="901" w:type="pct"/>
            <w:vAlign w:val="center"/>
          </w:tcPr>
          <w:p>
            <w:pPr>
              <w:spacing w:afterLines="50" w:line="420" w:lineRule="exact"/>
              <w:jc w:val="center"/>
              <w:rPr>
                <w:color w:val="auto"/>
                <w:spacing w:val="-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19" w:type="pct"/>
            <w:gridSpan w:val="2"/>
            <w:vAlign w:val="center"/>
          </w:tcPr>
          <w:p>
            <w:pPr>
              <w:spacing w:afterLines="50" w:line="420" w:lineRule="exact"/>
              <w:jc w:val="center"/>
              <w:rPr>
                <w:color w:val="auto"/>
                <w:spacing w:val="-4"/>
              </w:rPr>
            </w:pPr>
          </w:p>
        </w:tc>
        <w:tc>
          <w:tcPr>
            <w:tcW w:w="599" w:type="pct"/>
            <w:vAlign w:val="center"/>
          </w:tcPr>
          <w:p>
            <w:pPr>
              <w:spacing w:afterLines="50" w:line="420" w:lineRule="exact"/>
              <w:jc w:val="center"/>
              <w:rPr>
                <w:color w:val="auto"/>
                <w:spacing w:val="-4"/>
              </w:rPr>
            </w:pPr>
          </w:p>
        </w:tc>
        <w:tc>
          <w:tcPr>
            <w:tcW w:w="427" w:type="pct"/>
          </w:tcPr>
          <w:p>
            <w:pPr>
              <w:spacing w:afterLines="50" w:line="420" w:lineRule="exact"/>
              <w:jc w:val="center"/>
              <w:rPr>
                <w:color w:val="auto"/>
                <w:spacing w:val="-4"/>
              </w:rPr>
            </w:pPr>
          </w:p>
        </w:tc>
        <w:tc>
          <w:tcPr>
            <w:tcW w:w="854" w:type="pct"/>
            <w:vAlign w:val="center"/>
          </w:tcPr>
          <w:p>
            <w:pPr>
              <w:spacing w:afterLines="50" w:line="420" w:lineRule="exact"/>
              <w:jc w:val="center"/>
              <w:rPr>
                <w:color w:val="auto"/>
                <w:spacing w:val="-4"/>
              </w:rPr>
            </w:pPr>
          </w:p>
        </w:tc>
        <w:tc>
          <w:tcPr>
            <w:tcW w:w="901" w:type="pct"/>
            <w:vAlign w:val="center"/>
          </w:tcPr>
          <w:p>
            <w:pPr>
              <w:spacing w:afterLines="50" w:line="420" w:lineRule="exact"/>
              <w:jc w:val="center"/>
              <w:rPr>
                <w:color w:val="auto"/>
                <w:spacing w:val="-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19" w:type="pct"/>
            <w:gridSpan w:val="2"/>
            <w:vAlign w:val="center"/>
          </w:tcPr>
          <w:p>
            <w:pPr>
              <w:spacing w:afterLines="50" w:line="420" w:lineRule="exact"/>
              <w:jc w:val="center"/>
              <w:rPr>
                <w:color w:val="auto"/>
                <w:spacing w:val="-4"/>
              </w:rPr>
            </w:pPr>
          </w:p>
        </w:tc>
        <w:tc>
          <w:tcPr>
            <w:tcW w:w="599" w:type="pct"/>
            <w:vAlign w:val="center"/>
          </w:tcPr>
          <w:p>
            <w:pPr>
              <w:spacing w:afterLines="50" w:line="420" w:lineRule="exact"/>
              <w:jc w:val="center"/>
              <w:rPr>
                <w:color w:val="auto"/>
                <w:spacing w:val="-4"/>
              </w:rPr>
            </w:pPr>
          </w:p>
        </w:tc>
        <w:tc>
          <w:tcPr>
            <w:tcW w:w="427" w:type="pct"/>
          </w:tcPr>
          <w:p>
            <w:pPr>
              <w:spacing w:afterLines="50" w:line="420" w:lineRule="exact"/>
              <w:jc w:val="center"/>
              <w:rPr>
                <w:color w:val="auto"/>
                <w:spacing w:val="-4"/>
              </w:rPr>
            </w:pPr>
          </w:p>
        </w:tc>
        <w:tc>
          <w:tcPr>
            <w:tcW w:w="854" w:type="pct"/>
            <w:vAlign w:val="center"/>
          </w:tcPr>
          <w:p>
            <w:pPr>
              <w:spacing w:afterLines="50" w:line="420" w:lineRule="exact"/>
              <w:jc w:val="center"/>
              <w:rPr>
                <w:color w:val="auto"/>
                <w:spacing w:val="-4"/>
              </w:rPr>
            </w:pPr>
          </w:p>
        </w:tc>
        <w:tc>
          <w:tcPr>
            <w:tcW w:w="901" w:type="pct"/>
            <w:vAlign w:val="center"/>
          </w:tcPr>
          <w:p>
            <w:pPr>
              <w:spacing w:afterLines="50" w:line="420" w:lineRule="exact"/>
              <w:jc w:val="center"/>
              <w:rPr>
                <w:color w:val="auto"/>
                <w:spacing w:val="-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19" w:type="pct"/>
            <w:gridSpan w:val="2"/>
            <w:vAlign w:val="center"/>
          </w:tcPr>
          <w:p>
            <w:pPr>
              <w:spacing w:afterLines="50" w:line="420" w:lineRule="exact"/>
              <w:jc w:val="center"/>
              <w:rPr>
                <w:color w:val="auto"/>
                <w:spacing w:val="-4"/>
              </w:rPr>
            </w:pPr>
          </w:p>
        </w:tc>
        <w:tc>
          <w:tcPr>
            <w:tcW w:w="599" w:type="pct"/>
            <w:vAlign w:val="center"/>
          </w:tcPr>
          <w:p>
            <w:pPr>
              <w:spacing w:afterLines="50" w:line="420" w:lineRule="exact"/>
              <w:jc w:val="center"/>
              <w:rPr>
                <w:color w:val="auto"/>
                <w:spacing w:val="-4"/>
              </w:rPr>
            </w:pPr>
          </w:p>
        </w:tc>
        <w:tc>
          <w:tcPr>
            <w:tcW w:w="427" w:type="pct"/>
          </w:tcPr>
          <w:p>
            <w:pPr>
              <w:spacing w:afterLines="50" w:line="420" w:lineRule="exact"/>
              <w:jc w:val="center"/>
              <w:rPr>
                <w:color w:val="auto"/>
                <w:spacing w:val="-4"/>
              </w:rPr>
            </w:pPr>
          </w:p>
        </w:tc>
        <w:tc>
          <w:tcPr>
            <w:tcW w:w="854" w:type="pct"/>
            <w:vAlign w:val="center"/>
          </w:tcPr>
          <w:p>
            <w:pPr>
              <w:spacing w:afterLines="50" w:line="420" w:lineRule="exact"/>
              <w:jc w:val="center"/>
              <w:rPr>
                <w:color w:val="auto"/>
                <w:spacing w:val="-4"/>
              </w:rPr>
            </w:pPr>
          </w:p>
        </w:tc>
        <w:tc>
          <w:tcPr>
            <w:tcW w:w="901" w:type="pct"/>
            <w:vAlign w:val="center"/>
          </w:tcPr>
          <w:p>
            <w:pPr>
              <w:spacing w:afterLines="50" w:line="420" w:lineRule="exact"/>
              <w:jc w:val="center"/>
              <w:rPr>
                <w:color w:val="auto"/>
                <w:spacing w:val="-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19" w:type="pct"/>
            <w:gridSpan w:val="2"/>
            <w:vAlign w:val="center"/>
          </w:tcPr>
          <w:p>
            <w:pPr>
              <w:spacing w:afterLines="50" w:line="420" w:lineRule="exact"/>
              <w:jc w:val="center"/>
              <w:rPr>
                <w:color w:val="auto"/>
                <w:spacing w:val="-4"/>
              </w:rPr>
            </w:pPr>
          </w:p>
        </w:tc>
        <w:tc>
          <w:tcPr>
            <w:tcW w:w="599" w:type="pct"/>
            <w:vAlign w:val="center"/>
          </w:tcPr>
          <w:p>
            <w:pPr>
              <w:spacing w:afterLines="50" w:line="420" w:lineRule="exact"/>
              <w:jc w:val="center"/>
              <w:rPr>
                <w:color w:val="auto"/>
                <w:spacing w:val="-4"/>
              </w:rPr>
            </w:pPr>
          </w:p>
        </w:tc>
        <w:tc>
          <w:tcPr>
            <w:tcW w:w="427" w:type="pct"/>
          </w:tcPr>
          <w:p>
            <w:pPr>
              <w:spacing w:afterLines="50" w:line="420" w:lineRule="exact"/>
              <w:jc w:val="center"/>
              <w:rPr>
                <w:color w:val="auto"/>
                <w:spacing w:val="-4"/>
              </w:rPr>
            </w:pPr>
          </w:p>
        </w:tc>
        <w:tc>
          <w:tcPr>
            <w:tcW w:w="854" w:type="pct"/>
            <w:vAlign w:val="center"/>
          </w:tcPr>
          <w:p>
            <w:pPr>
              <w:spacing w:afterLines="50" w:line="420" w:lineRule="exact"/>
              <w:jc w:val="center"/>
              <w:rPr>
                <w:color w:val="auto"/>
                <w:spacing w:val="-4"/>
              </w:rPr>
            </w:pPr>
          </w:p>
        </w:tc>
        <w:tc>
          <w:tcPr>
            <w:tcW w:w="901" w:type="pct"/>
            <w:vAlign w:val="center"/>
          </w:tcPr>
          <w:p>
            <w:pPr>
              <w:spacing w:afterLines="50" w:line="420" w:lineRule="exact"/>
              <w:jc w:val="center"/>
              <w:rPr>
                <w:color w:val="auto"/>
                <w:spacing w:val="-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19" w:type="pct"/>
            <w:gridSpan w:val="2"/>
            <w:vAlign w:val="center"/>
          </w:tcPr>
          <w:p>
            <w:pPr>
              <w:spacing w:afterLines="50" w:line="420" w:lineRule="exact"/>
              <w:jc w:val="center"/>
              <w:rPr>
                <w:color w:val="auto"/>
                <w:spacing w:val="-4"/>
              </w:rPr>
            </w:pPr>
          </w:p>
        </w:tc>
        <w:tc>
          <w:tcPr>
            <w:tcW w:w="599" w:type="pct"/>
            <w:vAlign w:val="center"/>
          </w:tcPr>
          <w:p>
            <w:pPr>
              <w:spacing w:afterLines="50" w:line="420" w:lineRule="exact"/>
              <w:jc w:val="center"/>
              <w:rPr>
                <w:color w:val="auto"/>
                <w:spacing w:val="-4"/>
              </w:rPr>
            </w:pPr>
          </w:p>
        </w:tc>
        <w:tc>
          <w:tcPr>
            <w:tcW w:w="427" w:type="pct"/>
          </w:tcPr>
          <w:p>
            <w:pPr>
              <w:spacing w:afterLines="50" w:line="420" w:lineRule="exact"/>
              <w:jc w:val="center"/>
              <w:rPr>
                <w:color w:val="auto"/>
                <w:spacing w:val="-4"/>
              </w:rPr>
            </w:pPr>
          </w:p>
        </w:tc>
        <w:tc>
          <w:tcPr>
            <w:tcW w:w="854" w:type="pct"/>
            <w:vAlign w:val="center"/>
          </w:tcPr>
          <w:p>
            <w:pPr>
              <w:spacing w:afterLines="50" w:line="420" w:lineRule="exact"/>
              <w:jc w:val="center"/>
              <w:rPr>
                <w:color w:val="auto"/>
                <w:spacing w:val="-4"/>
              </w:rPr>
            </w:pPr>
          </w:p>
        </w:tc>
        <w:tc>
          <w:tcPr>
            <w:tcW w:w="901" w:type="pct"/>
            <w:vAlign w:val="center"/>
          </w:tcPr>
          <w:p>
            <w:pPr>
              <w:spacing w:afterLines="50" w:line="420" w:lineRule="exact"/>
              <w:jc w:val="center"/>
              <w:rPr>
                <w:color w:val="auto"/>
                <w:spacing w:val="-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19" w:type="pct"/>
            <w:gridSpan w:val="2"/>
          </w:tcPr>
          <w:p>
            <w:pPr>
              <w:spacing w:afterLines="50" w:line="420" w:lineRule="exact"/>
              <w:jc w:val="center"/>
              <w:rPr>
                <w:color w:val="auto"/>
                <w:spacing w:val="-4"/>
              </w:rPr>
            </w:pPr>
          </w:p>
        </w:tc>
        <w:tc>
          <w:tcPr>
            <w:tcW w:w="599" w:type="pct"/>
            <w:vAlign w:val="center"/>
          </w:tcPr>
          <w:p>
            <w:pPr>
              <w:spacing w:afterLines="50" w:line="420" w:lineRule="exact"/>
              <w:jc w:val="center"/>
              <w:rPr>
                <w:color w:val="auto"/>
                <w:spacing w:val="-4"/>
              </w:rPr>
            </w:pPr>
          </w:p>
        </w:tc>
        <w:tc>
          <w:tcPr>
            <w:tcW w:w="427" w:type="pct"/>
          </w:tcPr>
          <w:p>
            <w:pPr>
              <w:spacing w:afterLines="50" w:line="420" w:lineRule="exact"/>
              <w:jc w:val="center"/>
              <w:rPr>
                <w:color w:val="auto"/>
                <w:spacing w:val="-4"/>
              </w:rPr>
            </w:pPr>
          </w:p>
        </w:tc>
        <w:tc>
          <w:tcPr>
            <w:tcW w:w="854" w:type="pct"/>
            <w:vAlign w:val="center"/>
          </w:tcPr>
          <w:p>
            <w:pPr>
              <w:spacing w:afterLines="50" w:line="420" w:lineRule="exact"/>
              <w:jc w:val="center"/>
              <w:rPr>
                <w:color w:val="auto"/>
                <w:spacing w:val="-4"/>
              </w:rPr>
            </w:pPr>
          </w:p>
        </w:tc>
        <w:tc>
          <w:tcPr>
            <w:tcW w:w="901" w:type="pct"/>
            <w:vAlign w:val="center"/>
          </w:tcPr>
          <w:p>
            <w:pPr>
              <w:spacing w:afterLines="50" w:line="420" w:lineRule="exact"/>
              <w:jc w:val="center"/>
              <w:rPr>
                <w:color w:val="auto"/>
                <w:spacing w:val="-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19" w:type="pct"/>
            <w:gridSpan w:val="2"/>
          </w:tcPr>
          <w:p>
            <w:pPr>
              <w:spacing w:afterLines="50" w:line="420" w:lineRule="exact"/>
              <w:jc w:val="center"/>
              <w:rPr>
                <w:color w:val="auto"/>
                <w:spacing w:val="-4"/>
              </w:rPr>
            </w:pPr>
          </w:p>
        </w:tc>
        <w:tc>
          <w:tcPr>
            <w:tcW w:w="599" w:type="pct"/>
            <w:vAlign w:val="center"/>
          </w:tcPr>
          <w:p>
            <w:pPr>
              <w:spacing w:afterLines="50" w:line="420" w:lineRule="exact"/>
              <w:jc w:val="center"/>
              <w:rPr>
                <w:color w:val="auto"/>
                <w:spacing w:val="-4"/>
              </w:rPr>
            </w:pPr>
          </w:p>
        </w:tc>
        <w:tc>
          <w:tcPr>
            <w:tcW w:w="427" w:type="pct"/>
          </w:tcPr>
          <w:p>
            <w:pPr>
              <w:spacing w:afterLines="50" w:line="420" w:lineRule="exact"/>
              <w:jc w:val="center"/>
              <w:rPr>
                <w:color w:val="auto"/>
                <w:spacing w:val="-4"/>
              </w:rPr>
            </w:pPr>
          </w:p>
        </w:tc>
        <w:tc>
          <w:tcPr>
            <w:tcW w:w="854" w:type="pct"/>
            <w:vAlign w:val="center"/>
          </w:tcPr>
          <w:p>
            <w:pPr>
              <w:spacing w:afterLines="50" w:line="420" w:lineRule="exact"/>
              <w:jc w:val="center"/>
              <w:rPr>
                <w:color w:val="auto"/>
                <w:spacing w:val="-4"/>
              </w:rPr>
            </w:pPr>
          </w:p>
        </w:tc>
        <w:tc>
          <w:tcPr>
            <w:tcW w:w="901" w:type="pct"/>
            <w:vAlign w:val="center"/>
          </w:tcPr>
          <w:p>
            <w:pPr>
              <w:spacing w:afterLines="50" w:line="420" w:lineRule="exact"/>
              <w:jc w:val="center"/>
              <w:rPr>
                <w:color w:val="auto"/>
                <w:spacing w:val="-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19" w:type="pct"/>
            <w:gridSpan w:val="2"/>
          </w:tcPr>
          <w:p>
            <w:pPr>
              <w:spacing w:afterLines="50" w:line="420" w:lineRule="exact"/>
              <w:jc w:val="center"/>
              <w:rPr>
                <w:color w:val="auto"/>
                <w:spacing w:val="-4"/>
              </w:rPr>
            </w:pPr>
          </w:p>
        </w:tc>
        <w:tc>
          <w:tcPr>
            <w:tcW w:w="599" w:type="pct"/>
            <w:vAlign w:val="center"/>
          </w:tcPr>
          <w:p>
            <w:pPr>
              <w:spacing w:afterLines="50" w:line="420" w:lineRule="exact"/>
              <w:jc w:val="center"/>
              <w:rPr>
                <w:color w:val="auto"/>
                <w:spacing w:val="-4"/>
              </w:rPr>
            </w:pPr>
          </w:p>
        </w:tc>
        <w:tc>
          <w:tcPr>
            <w:tcW w:w="427" w:type="pct"/>
          </w:tcPr>
          <w:p>
            <w:pPr>
              <w:spacing w:afterLines="50" w:line="420" w:lineRule="exact"/>
              <w:jc w:val="center"/>
              <w:rPr>
                <w:color w:val="auto"/>
                <w:spacing w:val="-4"/>
              </w:rPr>
            </w:pPr>
          </w:p>
        </w:tc>
        <w:tc>
          <w:tcPr>
            <w:tcW w:w="854" w:type="pct"/>
            <w:vAlign w:val="center"/>
          </w:tcPr>
          <w:p>
            <w:pPr>
              <w:spacing w:afterLines="50" w:line="420" w:lineRule="exact"/>
              <w:jc w:val="center"/>
              <w:rPr>
                <w:color w:val="auto"/>
                <w:spacing w:val="-4"/>
              </w:rPr>
            </w:pPr>
          </w:p>
        </w:tc>
        <w:tc>
          <w:tcPr>
            <w:tcW w:w="901" w:type="pct"/>
            <w:vAlign w:val="center"/>
          </w:tcPr>
          <w:p>
            <w:pPr>
              <w:spacing w:afterLines="50" w:line="420" w:lineRule="exact"/>
              <w:jc w:val="center"/>
              <w:rPr>
                <w:color w:val="auto"/>
                <w:spacing w:val="-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exact"/>
        </w:trPr>
        <w:tc>
          <w:tcPr>
            <w:tcW w:w="2219" w:type="pct"/>
            <w:gridSpan w:val="2"/>
          </w:tcPr>
          <w:p>
            <w:pPr>
              <w:spacing w:afterLines="50" w:line="420" w:lineRule="exact"/>
              <w:jc w:val="center"/>
              <w:rPr>
                <w:color w:val="auto"/>
                <w:spacing w:val="-4"/>
              </w:rPr>
            </w:pPr>
          </w:p>
        </w:tc>
        <w:tc>
          <w:tcPr>
            <w:tcW w:w="599" w:type="pct"/>
            <w:vAlign w:val="center"/>
          </w:tcPr>
          <w:p>
            <w:pPr>
              <w:spacing w:afterLines="50" w:line="420" w:lineRule="exact"/>
              <w:jc w:val="center"/>
              <w:rPr>
                <w:color w:val="auto"/>
                <w:spacing w:val="-4"/>
              </w:rPr>
            </w:pPr>
          </w:p>
        </w:tc>
        <w:tc>
          <w:tcPr>
            <w:tcW w:w="427" w:type="pct"/>
          </w:tcPr>
          <w:p>
            <w:pPr>
              <w:spacing w:afterLines="50" w:line="420" w:lineRule="exact"/>
              <w:jc w:val="center"/>
              <w:rPr>
                <w:color w:val="auto"/>
                <w:spacing w:val="-4"/>
              </w:rPr>
            </w:pPr>
          </w:p>
        </w:tc>
        <w:tc>
          <w:tcPr>
            <w:tcW w:w="854" w:type="pct"/>
            <w:vAlign w:val="center"/>
          </w:tcPr>
          <w:p>
            <w:pPr>
              <w:spacing w:afterLines="50" w:line="420" w:lineRule="exact"/>
              <w:jc w:val="center"/>
              <w:rPr>
                <w:color w:val="auto"/>
                <w:spacing w:val="-4"/>
              </w:rPr>
            </w:pPr>
          </w:p>
        </w:tc>
        <w:tc>
          <w:tcPr>
            <w:tcW w:w="901" w:type="pct"/>
            <w:vAlign w:val="center"/>
          </w:tcPr>
          <w:p>
            <w:pPr>
              <w:spacing w:afterLines="50" w:line="420" w:lineRule="exact"/>
              <w:jc w:val="center"/>
              <w:rPr>
                <w:color w:val="auto"/>
                <w:spacing w:val="-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49" w:type="pct"/>
          </w:tcPr>
          <w:p>
            <w:pPr>
              <w:spacing w:afterLines="50" w:line="420" w:lineRule="exact"/>
              <w:jc w:val="center"/>
              <w:rPr>
                <w:b/>
                <w:bCs/>
                <w:color w:val="auto"/>
                <w:spacing w:val="-4"/>
              </w:rPr>
            </w:pPr>
            <w:r>
              <w:rPr>
                <w:rFonts w:hint="eastAsia"/>
                <w:b/>
                <w:bCs/>
                <w:color w:val="auto"/>
                <w:spacing w:val="-4"/>
              </w:rPr>
              <w:t>合同标的总价</w:t>
            </w:r>
          </w:p>
        </w:tc>
        <w:tc>
          <w:tcPr>
            <w:tcW w:w="3551" w:type="pct"/>
            <w:gridSpan w:val="5"/>
          </w:tcPr>
          <w:p>
            <w:pPr>
              <w:spacing w:afterLines="50" w:line="420" w:lineRule="exact"/>
              <w:jc w:val="center"/>
              <w:rPr>
                <w:b/>
                <w:bCs/>
                <w:color w:val="auto"/>
                <w:spacing w:val="-4"/>
              </w:rPr>
            </w:pPr>
          </w:p>
        </w:tc>
      </w:tr>
    </w:tbl>
    <w:p>
      <w:pPr>
        <w:spacing w:line="360" w:lineRule="auto"/>
        <w:ind w:firstLine="557"/>
        <w:rPr>
          <w:rFonts w:ascii="宋体" w:hAnsi="宋体" w:cs="宋体"/>
          <w:b/>
          <w:snapToGrid w:val="0"/>
          <w:color w:val="auto"/>
          <w:kern w:val="0"/>
          <w:szCs w:val="21"/>
        </w:rPr>
      </w:pPr>
      <w:r>
        <w:rPr>
          <w:rFonts w:hint="eastAsia" w:ascii="宋体" w:hAnsi="宋体" w:cs="宋体"/>
          <w:b/>
          <w:snapToGrid w:val="0"/>
          <w:color w:val="auto"/>
          <w:kern w:val="0"/>
          <w:szCs w:val="21"/>
        </w:rPr>
        <w:t>第二条  设备交付</w:t>
      </w:r>
    </w:p>
    <w:p>
      <w:pPr>
        <w:spacing w:line="360" w:lineRule="auto"/>
        <w:ind w:firstLine="560"/>
        <w:rPr>
          <w:rFonts w:ascii="宋体" w:hAnsi="宋体" w:cs="宋体"/>
          <w:snapToGrid w:val="0"/>
          <w:color w:val="auto"/>
          <w:kern w:val="0"/>
          <w:szCs w:val="21"/>
        </w:rPr>
      </w:pPr>
      <w:r>
        <w:rPr>
          <w:rFonts w:ascii="宋体" w:hAnsi="宋体" w:cs="宋体"/>
          <w:snapToGrid w:val="0"/>
          <w:color w:val="auto"/>
          <w:kern w:val="0"/>
          <w:szCs w:val="21"/>
        </w:rPr>
        <w:t>1.</w:t>
      </w:r>
      <w:r>
        <w:rPr>
          <w:rFonts w:hint="eastAsia" w:ascii="宋体" w:hAnsi="宋体" w:cs="宋体"/>
          <w:snapToGrid w:val="0"/>
          <w:color w:val="auto"/>
          <w:kern w:val="0"/>
          <w:szCs w:val="21"/>
        </w:rPr>
        <w:t>设备交货</w:t>
      </w:r>
    </w:p>
    <w:p>
      <w:pPr>
        <w:spacing w:line="360" w:lineRule="auto"/>
        <w:ind w:firstLine="630" w:firstLineChars="300"/>
        <w:jc w:val="left"/>
        <w:rPr>
          <w:rFonts w:ascii="宋体" w:hAnsi="宋体" w:cs="宋体"/>
          <w:snapToGrid w:val="0"/>
          <w:color w:val="auto"/>
          <w:kern w:val="0"/>
          <w:szCs w:val="21"/>
        </w:rPr>
      </w:pPr>
      <w:r>
        <w:rPr>
          <w:rFonts w:hint="eastAsia" w:ascii="宋体" w:hAnsi="宋体" w:cs="宋体"/>
          <w:snapToGrid w:val="0"/>
          <w:color w:val="auto"/>
          <w:kern w:val="0"/>
          <w:szCs w:val="21"/>
        </w:rPr>
        <w:t>交货日期：乙方于合同生效</w:t>
      </w:r>
      <w:r>
        <w:rPr>
          <w:rFonts w:hint="eastAsia" w:ascii="宋体" w:hAnsi="宋体" w:cs="宋体"/>
          <w:color w:val="auto"/>
          <w:sz w:val="22"/>
          <w:szCs w:val="22"/>
        </w:rPr>
        <w:t>后，</w:t>
      </w:r>
      <w:r>
        <w:rPr>
          <w:rFonts w:ascii="宋体" w:hAnsi="宋体" w:cs="宋体"/>
          <w:color w:val="auto"/>
          <w:sz w:val="22"/>
          <w:szCs w:val="22"/>
          <w:u w:val="single"/>
        </w:rPr>
        <w:t>30</w:t>
      </w:r>
      <w:r>
        <w:rPr>
          <w:rFonts w:hint="eastAsia" w:ascii="宋体" w:hAnsi="宋体" w:cs="宋体"/>
          <w:color w:val="auto"/>
          <w:sz w:val="22"/>
          <w:szCs w:val="22"/>
        </w:rPr>
        <w:t>个日历日内，</w:t>
      </w:r>
      <w:r>
        <w:rPr>
          <w:rFonts w:hint="eastAsia" w:ascii="宋体" w:hAnsi="宋体" w:cs="宋体"/>
          <w:snapToGrid w:val="0"/>
          <w:color w:val="auto"/>
          <w:kern w:val="0"/>
          <w:szCs w:val="21"/>
        </w:rPr>
        <w:t>向甲方交付全部货物。</w:t>
      </w:r>
    </w:p>
    <w:p>
      <w:pPr>
        <w:spacing w:line="360" w:lineRule="auto"/>
        <w:ind w:firstLine="560"/>
        <w:rPr>
          <w:rFonts w:ascii="宋体" w:hAnsi="宋体" w:cs="宋体"/>
          <w:snapToGrid w:val="0"/>
          <w:color w:val="auto"/>
          <w:kern w:val="0"/>
          <w:szCs w:val="21"/>
        </w:rPr>
      </w:pPr>
      <w:r>
        <w:rPr>
          <w:rFonts w:hint="eastAsia" w:ascii="宋体" w:hAnsi="宋体" w:cs="宋体"/>
          <w:snapToGrid w:val="0"/>
          <w:color w:val="auto"/>
          <w:kern w:val="0"/>
          <w:szCs w:val="21"/>
        </w:rPr>
        <w:t>交货方式：乙方将设备（含仪器，下同）运至甲方指定地点,运费及保险由乙方承担。货物交付甲方之前发生灭失、毁损等的风险由乙方承担。</w:t>
      </w:r>
    </w:p>
    <w:p>
      <w:pPr>
        <w:spacing w:line="360" w:lineRule="auto"/>
        <w:ind w:firstLine="560"/>
        <w:rPr>
          <w:rFonts w:ascii="宋体" w:hAnsi="宋体" w:cs="宋体"/>
          <w:snapToGrid w:val="0"/>
          <w:color w:val="auto"/>
          <w:kern w:val="0"/>
          <w:szCs w:val="21"/>
        </w:rPr>
      </w:pPr>
      <w:r>
        <w:rPr>
          <w:rFonts w:ascii="宋体" w:hAnsi="宋体" w:cs="宋体"/>
          <w:snapToGrid w:val="0"/>
          <w:color w:val="auto"/>
          <w:kern w:val="0"/>
          <w:szCs w:val="21"/>
        </w:rPr>
        <w:t>2.</w:t>
      </w:r>
      <w:r>
        <w:rPr>
          <w:rFonts w:hint="eastAsia" w:ascii="宋体" w:hAnsi="宋体" w:cs="宋体"/>
          <w:snapToGrid w:val="0"/>
          <w:color w:val="auto"/>
          <w:kern w:val="0"/>
          <w:szCs w:val="21"/>
        </w:rPr>
        <w:t>乙方交货时必须同时提交设备及配件使用说明书、质量证书、产品保修书。</w:t>
      </w:r>
    </w:p>
    <w:p>
      <w:pPr>
        <w:spacing w:line="360" w:lineRule="auto"/>
        <w:ind w:firstLine="562"/>
        <w:rPr>
          <w:rFonts w:ascii="宋体" w:hAnsi="宋体" w:cs="宋体"/>
          <w:b/>
          <w:snapToGrid w:val="0"/>
          <w:color w:val="auto"/>
          <w:kern w:val="0"/>
          <w:szCs w:val="21"/>
        </w:rPr>
      </w:pPr>
      <w:r>
        <w:rPr>
          <w:rFonts w:hint="eastAsia" w:ascii="宋体" w:hAnsi="宋体" w:cs="宋体"/>
          <w:b/>
          <w:snapToGrid w:val="0"/>
          <w:color w:val="auto"/>
          <w:kern w:val="0"/>
          <w:szCs w:val="21"/>
        </w:rPr>
        <w:t>第三条  验收及方式</w:t>
      </w:r>
    </w:p>
    <w:p>
      <w:pPr>
        <w:spacing w:line="360" w:lineRule="auto"/>
        <w:ind w:firstLine="560"/>
        <w:rPr>
          <w:rFonts w:ascii="宋体" w:hAnsi="宋体" w:cs="宋体"/>
          <w:snapToGrid w:val="0"/>
          <w:color w:val="auto"/>
          <w:kern w:val="0"/>
          <w:szCs w:val="21"/>
        </w:rPr>
      </w:pPr>
      <w:r>
        <w:rPr>
          <w:rFonts w:ascii="宋体" w:hAnsi="宋体" w:cs="宋体"/>
          <w:snapToGrid w:val="0"/>
          <w:color w:val="auto"/>
          <w:kern w:val="0"/>
          <w:szCs w:val="21"/>
        </w:rPr>
        <w:t>1.</w:t>
      </w:r>
      <w:r>
        <w:rPr>
          <w:rFonts w:hint="eastAsia" w:ascii="宋体" w:hAnsi="宋体" w:cs="宋体"/>
          <w:snapToGrid w:val="0"/>
          <w:color w:val="auto"/>
          <w:kern w:val="0"/>
          <w:szCs w:val="21"/>
        </w:rPr>
        <w:t>乙方提供的设备必须符合上述第一条约定的标准。</w:t>
      </w:r>
    </w:p>
    <w:p>
      <w:pPr>
        <w:spacing w:line="360" w:lineRule="auto"/>
        <w:ind w:firstLine="560"/>
        <w:rPr>
          <w:rFonts w:ascii="宋体" w:hAnsi="宋体" w:cs="宋体"/>
          <w:snapToGrid w:val="0"/>
          <w:color w:val="auto"/>
          <w:kern w:val="0"/>
          <w:szCs w:val="21"/>
        </w:rPr>
      </w:pPr>
      <w:r>
        <w:rPr>
          <w:rFonts w:ascii="宋体" w:hAnsi="宋体" w:cs="宋体"/>
          <w:snapToGrid w:val="0"/>
          <w:color w:val="auto"/>
          <w:kern w:val="0"/>
          <w:szCs w:val="21"/>
        </w:rPr>
        <w:t>2.</w:t>
      </w:r>
      <w:r>
        <w:rPr>
          <w:rFonts w:hint="eastAsia" w:ascii="宋体" w:hAnsi="宋体" w:cs="宋体"/>
          <w:snapToGrid w:val="0"/>
          <w:color w:val="auto"/>
          <w:kern w:val="0"/>
          <w:szCs w:val="21"/>
        </w:rPr>
        <w:t>甲方如发现乙方所交付的货物厂家原包装受损或货物件数不符，甲方有权拒绝在交货回执上签字或盖章，并拒绝付款。</w:t>
      </w:r>
    </w:p>
    <w:p>
      <w:pPr>
        <w:spacing w:line="360" w:lineRule="auto"/>
        <w:ind w:firstLine="560"/>
        <w:rPr>
          <w:rFonts w:ascii="宋体" w:hAnsi="宋体" w:cs="宋体"/>
          <w:snapToGrid w:val="0"/>
          <w:color w:val="auto"/>
          <w:kern w:val="0"/>
          <w:szCs w:val="21"/>
        </w:rPr>
      </w:pPr>
      <w:r>
        <w:rPr>
          <w:rFonts w:ascii="宋体" w:hAnsi="宋体" w:cs="宋体"/>
          <w:snapToGrid w:val="0"/>
          <w:color w:val="auto"/>
          <w:kern w:val="0"/>
          <w:szCs w:val="21"/>
        </w:rPr>
        <w:t>3.</w:t>
      </w:r>
      <w:r>
        <w:rPr>
          <w:rFonts w:hint="eastAsia" w:ascii="宋体" w:hAnsi="宋体" w:cs="宋体"/>
          <w:snapToGrid w:val="0"/>
          <w:color w:val="auto"/>
          <w:kern w:val="0"/>
          <w:szCs w:val="21"/>
        </w:rPr>
        <w:t>甲方确认所收设备符合合同所规定的类型、数目后签署的《供货签收单》,并不代表对所收设备质量的认可</w:t>
      </w:r>
      <w:bookmarkStart w:id="8" w:name="_GoBack"/>
      <w:bookmarkEnd w:id="8"/>
      <w:r>
        <w:rPr>
          <w:rFonts w:hint="eastAsia" w:ascii="宋体" w:hAnsi="宋体" w:cs="宋体"/>
          <w:snapToGrid w:val="0"/>
          <w:color w:val="auto"/>
          <w:kern w:val="0"/>
          <w:szCs w:val="21"/>
        </w:rPr>
        <w:t>。</w:t>
      </w:r>
    </w:p>
    <w:p>
      <w:pPr>
        <w:spacing w:line="360" w:lineRule="auto"/>
        <w:ind w:firstLine="560"/>
        <w:rPr>
          <w:rFonts w:ascii="宋体" w:hAnsi="宋体" w:cs="宋体"/>
          <w:snapToGrid w:val="0"/>
          <w:color w:val="auto"/>
          <w:kern w:val="0"/>
          <w:szCs w:val="21"/>
        </w:rPr>
      </w:pPr>
      <w:r>
        <w:rPr>
          <w:rFonts w:ascii="宋体" w:hAnsi="宋体" w:cs="宋体"/>
          <w:snapToGrid w:val="0"/>
          <w:color w:val="auto"/>
          <w:kern w:val="0"/>
          <w:szCs w:val="21"/>
        </w:rPr>
        <w:t>4.</w:t>
      </w:r>
      <w:r>
        <w:rPr>
          <w:rFonts w:hint="eastAsia" w:ascii="宋体" w:hAnsi="宋体" w:cs="宋体"/>
          <w:snapToGrid w:val="0"/>
          <w:color w:val="auto"/>
          <w:kern w:val="0"/>
          <w:szCs w:val="21"/>
        </w:rPr>
        <w:t>甲方应在收到合同标的所列全部设备后</w:t>
      </w:r>
      <w:r>
        <w:rPr>
          <w:rFonts w:ascii="宋体" w:hAnsi="宋体" w:cs="宋体"/>
          <w:snapToGrid w:val="0"/>
          <w:color w:val="auto"/>
          <w:kern w:val="0"/>
          <w:szCs w:val="21"/>
          <w:u w:val="single"/>
        </w:rPr>
        <w:t>3</w:t>
      </w:r>
      <w:r>
        <w:rPr>
          <w:rFonts w:hint="eastAsia" w:ascii="宋体" w:hAnsi="宋体" w:cs="宋体"/>
          <w:snapToGrid w:val="0"/>
          <w:color w:val="auto"/>
          <w:kern w:val="0"/>
          <w:szCs w:val="21"/>
        </w:rPr>
        <w:t>个工作日内组织双方验收。</w:t>
      </w:r>
    </w:p>
    <w:p>
      <w:pPr>
        <w:spacing w:line="360" w:lineRule="auto"/>
        <w:ind w:firstLine="562"/>
        <w:rPr>
          <w:rFonts w:ascii="宋体" w:hAnsi="宋体" w:cs="宋体"/>
          <w:b/>
          <w:snapToGrid w:val="0"/>
          <w:color w:val="auto"/>
          <w:kern w:val="0"/>
          <w:szCs w:val="21"/>
        </w:rPr>
      </w:pPr>
      <w:r>
        <w:rPr>
          <w:rFonts w:hint="eastAsia" w:ascii="宋体" w:hAnsi="宋体" w:cs="宋体"/>
          <w:b/>
          <w:snapToGrid w:val="0"/>
          <w:color w:val="auto"/>
          <w:kern w:val="0"/>
          <w:szCs w:val="21"/>
        </w:rPr>
        <w:t>第四条 支付方式</w:t>
      </w:r>
    </w:p>
    <w:p>
      <w:pPr>
        <w:spacing w:line="360" w:lineRule="auto"/>
        <w:ind w:firstLine="560"/>
        <w:rPr>
          <w:rFonts w:ascii="宋体" w:hAnsi="宋体" w:cs="宋体"/>
          <w:snapToGrid w:val="0"/>
          <w:color w:val="auto"/>
          <w:kern w:val="0"/>
          <w:szCs w:val="21"/>
        </w:rPr>
      </w:pPr>
      <w:r>
        <w:rPr>
          <w:rFonts w:hint="eastAsia" w:ascii="宋体" w:hAnsi="宋体" w:cs="宋体"/>
          <w:snapToGrid w:val="0"/>
          <w:color w:val="auto"/>
          <w:kern w:val="0"/>
          <w:szCs w:val="21"/>
        </w:rPr>
        <w:t>1.付款方式：银行转账。</w:t>
      </w:r>
    </w:p>
    <w:p>
      <w:pPr>
        <w:spacing w:line="360" w:lineRule="auto"/>
        <w:ind w:firstLine="560"/>
        <w:rPr>
          <w:rFonts w:ascii="宋体" w:hAnsi="宋体" w:cs="宋体"/>
          <w:snapToGrid w:val="0"/>
          <w:color w:val="auto"/>
          <w:kern w:val="0"/>
          <w:szCs w:val="21"/>
        </w:rPr>
      </w:pPr>
      <w:r>
        <w:rPr>
          <w:rFonts w:hint="eastAsia" w:ascii="宋体" w:hAnsi="宋体" w:cs="宋体"/>
          <w:snapToGrid w:val="0"/>
          <w:color w:val="auto"/>
          <w:kern w:val="0"/>
          <w:szCs w:val="21"/>
        </w:rPr>
        <w:t>2.本合同使用货币种类为人民币。</w:t>
      </w:r>
    </w:p>
    <w:p>
      <w:pPr>
        <w:spacing w:line="360" w:lineRule="auto"/>
        <w:ind w:firstLine="560"/>
        <w:rPr>
          <w:rFonts w:hint="eastAsia" w:ascii="宋体" w:hAnsi="宋体" w:cs="宋体"/>
          <w:snapToGrid w:val="0"/>
          <w:color w:val="auto"/>
          <w:kern w:val="0"/>
          <w:szCs w:val="21"/>
          <w:u w:val="single"/>
        </w:rPr>
      </w:pPr>
      <w:r>
        <w:rPr>
          <w:rFonts w:hint="eastAsia" w:ascii="宋体" w:hAnsi="宋体" w:cs="宋体"/>
          <w:snapToGrid w:val="0"/>
          <w:color w:val="auto"/>
          <w:kern w:val="0"/>
          <w:szCs w:val="21"/>
          <w:u w:val="single"/>
        </w:rPr>
        <w:t>3.分2次支付</w:t>
      </w:r>
    </w:p>
    <w:p>
      <w:pPr>
        <w:spacing w:line="360" w:lineRule="auto"/>
        <w:ind w:firstLine="560"/>
        <w:rPr>
          <w:rFonts w:hint="eastAsia" w:ascii="宋体" w:hAnsi="宋体" w:cs="宋体"/>
          <w:snapToGrid w:val="0"/>
          <w:color w:val="auto"/>
          <w:kern w:val="0"/>
          <w:szCs w:val="21"/>
          <w:u w:val="single"/>
        </w:rPr>
      </w:pPr>
      <w:r>
        <w:rPr>
          <w:rFonts w:hint="eastAsia" w:ascii="宋体" w:hAnsi="宋体" w:cs="宋体"/>
          <w:snapToGrid w:val="0"/>
          <w:color w:val="auto"/>
          <w:kern w:val="0"/>
          <w:szCs w:val="21"/>
          <w:u w:val="single"/>
        </w:rPr>
        <w:t>（1）项目全面完成且通过区县级验收合格后，乙方提供等额增值税专用发票后，甲方在15个工作日内向乙方支付合同总价90%的合同款。（但不影响后期售后服务至第5年）。</w:t>
      </w:r>
    </w:p>
    <w:p>
      <w:pPr>
        <w:spacing w:line="360" w:lineRule="auto"/>
        <w:ind w:firstLine="560"/>
        <w:rPr>
          <w:rFonts w:ascii="宋体" w:hAnsi="宋体" w:cs="宋体"/>
          <w:snapToGrid w:val="0"/>
          <w:color w:val="auto"/>
          <w:kern w:val="0"/>
          <w:szCs w:val="21"/>
          <w:u w:val="single"/>
        </w:rPr>
      </w:pPr>
      <w:r>
        <w:rPr>
          <w:rFonts w:hint="eastAsia" w:ascii="宋体" w:hAnsi="宋体" w:cs="宋体"/>
          <w:snapToGrid w:val="0"/>
          <w:color w:val="auto"/>
          <w:kern w:val="0"/>
          <w:szCs w:val="21"/>
          <w:u w:val="single"/>
        </w:rPr>
        <w:t>（2）通过区县级验收合格期满1年后，乙方提供等额增值税专用发票后，甲方在15个工作日内向乙方一次性支付合同总价10%的合同款。</w:t>
      </w:r>
    </w:p>
    <w:p>
      <w:pPr>
        <w:spacing w:line="360" w:lineRule="auto"/>
        <w:ind w:firstLine="632" w:firstLineChars="300"/>
        <w:rPr>
          <w:rFonts w:ascii="宋体" w:hAnsi="宋体" w:cs="宋体"/>
          <w:b/>
          <w:snapToGrid w:val="0"/>
          <w:color w:val="auto"/>
          <w:kern w:val="0"/>
          <w:szCs w:val="21"/>
        </w:rPr>
      </w:pPr>
      <w:r>
        <w:rPr>
          <w:rFonts w:hint="eastAsia" w:ascii="宋体" w:hAnsi="宋体" w:cs="宋体"/>
          <w:b/>
          <w:snapToGrid w:val="0"/>
          <w:color w:val="auto"/>
          <w:kern w:val="0"/>
          <w:szCs w:val="21"/>
        </w:rPr>
        <w:t>第五条  甲、乙双方的权利及义务</w:t>
      </w:r>
    </w:p>
    <w:p>
      <w:pPr>
        <w:spacing w:line="360" w:lineRule="auto"/>
        <w:ind w:right="40" w:firstLine="562"/>
        <w:rPr>
          <w:rFonts w:ascii="宋体" w:hAnsi="宋体" w:cs="宋体"/>
          <w:b/>
          <w:snapToGrid w:val="0"/>
          <w:color w:val="auto"/>
          <w:kern w:val="0"/>
          <w:szCs w:val="21"/>
        </w:rPr>
      </w:pPr>
      <w:r>
        <w:rPr>
          <w:rFonts w:hint="eastAsia" w:ascii="宋体" w:hAnsi="宋体" w:cs="宋体"/>
          <w:b/>
          <w:snapToGrid w:val="0"/>
          <w:color w:val="auto"/>
          <w:kern w:val="0"/>
          <w:szCs w:val="21"/>
        </w:rPr>
        <w:t>甲方的权利及义务：</w:t>
      </w:r>
    </w:p>
    <w:p>
      <w:pPr>
        <w:spacing w:line="360" w:lineRule="auto"/>
        <w:ind w:right="40" w:firstLine="560"/>
        <w:rPr>
          <w:rFonts w:ascii="宋体" w:hAnsi="宋体" w:cs="宋体"/>
          <w:snapToGrid w:val="0"/>
          <w:color w:val="auto"/>
          <w:kern w:val="0"/>
          <w:szCs w:val="21"/>
        </w:rPr>
      </w:pPr>
      <w:r>
        <w:rPr>
          <w:rFonts w:ascii="宋体" w:hAnsi="宋体" w:cs="宋体"/>
          <w:snapToGrid w:val="0"/>
          <w:color w:val="auto"/>
          <w:kern w:val="0"/>
          <w:szCs w:val="21"/>
        </w:rPr>
        <w:t>1.</w:t>
      </w:r>
      <w:r>
        <w:rPr>
          <w:rFonts w:hint="eastAsia" w:ascii="宋体" w:hAnsi="宋体" w:cs="宋体"/>
          <w:snapToGrid w:val="0"/>
          <w:color w:val="auto"/>
          <w:kern w:val="0"/>
          <w:szCs w:val="21"/>
        </w:rPr>
        <w:t>甲方负责向乙方提供设备放置场地。</w:t>
      </w:r>
    </w:p>
    <w:p>
      <w:pPr>
        <w:tabs>
          <w:tab w:val="left" w:pos="0"/>
        </w:tabs>
        <w:spacing w:line="360" w:lineRule="auto"/>
        <w:ind w:firstLine="560"/>
        <w:rPr>
          <w:rFonts w:ascii="宋体" w:hAnsi="宋体" w:cs="宋体"/>
          <w:snapToGrid w:val="0"/>
          <w:color w:val="auto"/>
          <w:kern w:val="0"/>
          <w:szCs w:val="21"/>
        </w:rPr>
      </w:pPr>
      <w:r>
        <w:rPr>
          <w:rFonts w:ascii="宋体" w:hAnsi="宋体" w:cs="宋体"/>
          <w:snapToGrid w:val="0"/>
          <w:color w:val="auto"/>
          <w:kern w:val="0"/>
          <w:szCs w:val="21"/>
        </w:rPr>
        <w:t>2.</w:t>
      </w:r>
      <w:r>
        <w:rPr>
          <w:rFonts w:hint="eastAsia" w:ascii="宋体" w:hAnsi="宋体" w:cs="宋体"/>
          <w:snapToGrid w:val="0"/>
          <w:color w:val="auto"/>
          <w:kern w:val="0"/>
          <w:szCs w:val="21"/>
        </w:rPr>
        <w:t>在进行设备安装和调试时，甲方有义务配合乙方，提供包括线路、原有系统的配置资料等。</w:t>
      </w:r>
    </w:p>
    <w:p>
      <w:pPr>
        <w:spacing w:line="360" w:lineRule="auto"/>
        <w:ind w:firstLine="560"/>
        <w:rPr>
          <w:rFonts w:ascii="宋体" w:hAnsi="宋体" w:cs="宋体"/>
          <w:snapToGrid w:val="0"/>
          <w:color w:val="auto"/>
          <w:kern w:val="0"/>
          <w:szCs w:val="21"/>
        </w:rPr>
      </w:pPr>
      <w:r>
        <w:rPr>
          <w:rFonts w:ascii="宋体" w:hAnsi="宋体" w:cs="宋体"/>
          <w:snapToGrid w:val="0"/>
          <w:color w:val="auto"/>
          <w:kern w:val="0"/>
          <w:szCs w:val="21"/>
        </w:rPr>
        <w:t>3.</w:t>
      </w:r>
      <w:r>
        <w:rPr>
          <w:rFonts w:hint="eastAsia" w:ascii="宋体" w:hAnsi="宋体" w:cs="宋体"/>
          <w:snapToGrid w:val="0"/>
          <w:color w:val="auto"/>
          <w:kern w:val="0"/>
          <w:szCs w:val="21"/>
        </w:rPr>
        <w:t>合同生效后，入场前乙方的施工方案必须征得甲方同意，甲方为乙方提供如下协助：</w:t>
      </w:r>
    </w:p>
    <w:p>
      <w:pPr>
        <w:spacing w:line="360" w:lineRule="auto"/>
        <w:ind w:firstLine="768" w:firstLineChars="366"/>
        <w:rPr>
          <w:rFonts w:ascii="宋体" w:hAnsi="宋体" w:cs="宋体"/>
          <w:snapToGrid w:val="0"/>
          <w:color w:val="auto"/>
          <w:kern w:val="0"/>
          <w:szCs w:val="21"/>
        </w:rPr>
      </w:pPr>
      <w:r>
        <w:rPr>
          <w:rFonts w:hint="eastAsia" w:ascii="宋体" w:hAnsi="宋体" w:cs="宋体"/>
          <w:snapToGrid w:val="0"/>
          <w:color w:val="auto"/>
          <w:kern w:val="0"/>
          <w:szCs w:val="21"/>
        </w:rPr>
        <w:t>（1）甲方应积极配合乙方做好设备的安装和调试工作。</w:t>
      </w:r>
    </w:p>
    <w:p>
      <w:pPr>
        <w:spacing w:line="360" w:lineRule="auto"/>
        <w:ind w:firstLine="768" w:firstLineChars="366"/>
        <w:rPr>
          <w:rFonts w:ascii="宋体" w:hAnsi="宋体" w:cs="宋体"/>
          <w:snapToGrid w:val="0"/>
          <w:color w:val="auto"/>
          <w:kern w:val="0"/>
          <w:szCs w:val="21"/>
        </w:rPr>
      </w:pPr>
      <w:r>
        <w:rPr>
          <w:rFonts w:hint="eastAsia" w:ascii="宋体" w:hAnsi="宋体" w:cs="宋体"/>
          <w:snapToGrid w:val="0"/>
          <w:color w:val="auto"/>
          <w:kern w:val="0"/>
          <w:szCs w:val="21"/>
        </w:rPr>
        <w:t>（2）甲方在施工条件具备后通知乙方进入现场。</w:t>
      </w:r>
    </w:p>
    <w:p>
      <w:pPr>
        <w:spacing w:line="360" w:lineRule="auto"/>
        <w:ind w:firstLine="560"/>
        <w:rPr>
          <w:rFonts w:ascii="宋体" w:hAnsi="宋体" w:cs="宋体"/>
          <w:snapToGrid w:val="0"/>
          <w:color w:val="auto"/>
          <w:kern w:val="0"/>
          <w:szCs w:val="21"/>
        </w:rPr>
      </w:pPr>
      <w:r>
        <w:rPr>
          <w:rFonts w:ascii="宋体" w:hAnsi="宋体" w:cs="宋体"/>
          <w:snapToGrid w:val="0"/>
          <w:color w:val="auto"/>
          <w:kern w:val="0"/>
          <w:szCs w:val="21"/>
        </w:rPr>
        <w:t>4.</w:t>
      </w:r>
      <w:r>
        <w:rPr>
          <w:rFonts w:hint="eastAsia" w:ascii="宋体" w:hAnsi="宋体" w:cs="宋体"/>
          <w:snapToGrid w:val="0"/>
          <w:color w:val="auto"/>
          <w:kern w:val="0"/>
          <w:szCs w:val="21"/>
        </w:rPr>
        <w:t>甲方负责提供给乙方设备进入甲方施工所需的配合与支持，并协调解决非乙方原因引起的问题。</w:t>
      </w:r>
    </w:p>
    <w:p>
      <w:pPr>
        <w:spacing w:line="360" w:lineRule="auto"/>
        <w:ind w:left="69" w:right="40" w:firstLine="557"/>
        <w:rPr>
          <w:rFonts w:ascii="宋体" w:hAnsi="宋体" w:cs="宋体"/>
          <w:b/>
          <w:snapToGrid w:val="0"/>
          <w:color w:val="auto"/>
          <w:kern w:val="0"/>
          <w:szCs w:val="21"/>
        </w:rPr>
      </w:pPr>
      <w:r>
        <w:rPr>
          <w:rFonts w:hint="eastAsia" w:ascii="宋体" w:hAnsi="宋体" w:cs="宋体"/>
          <w:b/>
          <w:snapToGrid w:val="0"/>
          <w:color w:val="auto"/>
          <w:kern w:val="0"/>
          <w:szCs w:val="21"/>
        </w:rPr>
        <w:t>乙方的权利及义务：</w:t>
      </w:r>
    </w:p>
    <w:p>
      <w:pPr>
        <w:tabs>
          <w:tab w:val="left" w:pos="720"/>
        </w:tabs>
        <w:spacing w:line="360" w:lineRule="auto"/>
        <w:ind w:firstLine="560"/>
        <w:rPr>
          <w:rFonts w:ascii="宋体" w:hAnsi="宋体" w:cs="宋体"/>
          <w:snapToGrid w:val="0"/>
          <w:color w:val="auto"/>
          <w:kern w:val="0"/>
          <w:szCs w:val="21"/>
        </w:rPr>
      </w:pPr>
      <w:r>
        <w:rPr>
          <w:rFonts w:ascii="宋体" w:hAnsi="宋体" w:cs="宋体"/>
          <w:snapToGrid w:val="0"/>
          <w:color w:val="auto"/>
          <w:kern w:val="0"/>
          <w:szCs w:val="21"/>
        </w:rPr>
        <w:t>1.</w:t>
      </w:r>
      <w:r>
        <w:rPr>
          <w:rFonts w:hint="eastAsia" w:ascii="宋体" w:hAnsi="宋体" w:cs="宋体"/>
          <w:snapToGrid w:val="0"/>
          <w:color w:val="auto"/>
          <w:kern w:val="0"/>
          <w:szCs w:val="21"/>
        </w:rPr>
        <w:t>乙方保证提供的设备(包括配件)，其品牌、型号、质量、数量及价格必须符合本合同标的的规定。</w:t>
      </w:r>
    </w:p>
    <w:p>
      <w:pPr>
        <w:spacing w:line="360" w:lineRule="auto"/>
        <w:ind w:firstLine="562" w:firstLineChars="268"/>
        <w:rPr>
          <w:rFonts w:ascii="宋体" w:hAnsi="宋体" w:cs="宋体"/>
          <w:color w:val="auto"/>
          <w:szCs w:val="21"/>
        </w:rPr>
      </w:pPr>
      <w:r>
        <w:rPr>
          <w:rFonts w:ascii="宋体" w:hAnsi="宋体" w:cs="宋体"/>
          <w:snapToGrid w:val="0"/>
          <w:color w:val="auto"/>
          <w:kern w:val="0"/>
          <w:szCs w:val="21"/>
        </w:rPr>
        <w:t>2.</w:t>
      </w:r>
      <w:r>
        <w:rPr>
          <w:rFonts w:hint="eastAsia" w:ascii="宋体" w:hAnsi="宋体" w:cs="宋体"/>
          <w:snapToGrid w:val="0"/>
          <w:color w:val="auto"/>
          <w:kern w:val="0"/>
          <w:szCs w:val="21"/>
        </w:rPr>
        <w:t>乙方的质量保修期为本项目经最终验收合格后的</w:t>
      </w:r>
      <w:r>
        <w:rPr>
          <w:rFonts w:hint="eastAsia" w:ascii="宋体" w:hAnsi="宋体" w:cs="宋体"/>
          <w:snapToGrid w:val="0"/>
          <w:color w:val="auto"/>
          <w:kern w:val="0"/>
          <w:szCs w:val="21"/>
          <w:u w:val="single"/>
          <w:lang w:val="en-US" w:eastAsia="zh-CN"/>
        </w:rPr>
        <w:t xml:space="preserve">   </w:t>
      </w:r>
      <w:r>
        <w:rPr>
          <w:rFonts w:hint="eastAsia" w:ascii="宋体" w:hAnsi="宋体" w:cs="宋体"/>
          <w:snapToGrid w:val="0"/>
          <w:color w:val="auto"/>
          <w:kern w:val="0"/>
          <w:szCs w:val="21"/>
        </w:rPr>
        <w:t>年</w:t>
      </w:r>
      <w:r>
        <w:rPr>
          <w:rFonts w:hint="eastAsia" w:ascii="宋体" w:hAnsi="宋体" w:cs="宋体"/>
          <w:color w:val="auto"/>
          <w:szCs w:val="21"/>
        </w:rPr>
        <w:t>。</w:t>
      </w:r>
      <w:r>
        <w:rPr>
          <w:rFonts w:hint="eastAsia" w:ascii="宋体" w:hAnsi="宋体" w:cs="宋体"/>
          <w:snapToGrid w:val="0"/>
          <w:color w:val="auto"/>
          <w:kern w:val="0"/>
          <w:szCs w:val="21"/>
        </w:rPr>
        <w:t>质量保修期内乙方向甲方提供免费的维护、保修和技术支持，并且乙方保证本合同采购的所有设备及配件年包换，乙方对由于设计、工艺或材料的缺陷而造成的任何缺陷或故障负责正确更改、更换，对造成甲方损失的，乙方应承担全部赔偿责任。</w:t>
      </w:r>
    </w:p>
    <w:p>
      <w:pPr>
        <w:tabs>
          <w:tab w:val="left" w:pos="600"/>
          <w:tab w:val="left" w:pos="720"/>
        </w:tabs>
        <w:spacing w:line="360" w:lineRule="auto"/>
        <w:ind w:firstLine="561"/>
        <w:rPr>
          <w:rFonts w:ascii="宋体" w:hAnsi="宋体" w:cs="宋体"/>
          <w:snapToGrid w:val="0"/>
          <w:color w:val="auto"/>
          <w:kern w:val="0"/>
          <w:szCs w:val="21"/>
        </w:rPr>
      </w:pPr>
      <w:r>
        <w:rPr>
          <w:rFonts w:ascii="宋体" w:hAnsi="宋体" w:cs="宋体"/>
          <w:snapToGrid w:val="0"/>
          <w:color w:val="auto"/>
          <w:kern w:val="0"/>
          <w:szCs w:val="21"/>
        </w:rPr>
        <w:t>3.</w:t>
      </w:r>
      <w:r>
        <w:rPr>
          <w:rFonts w:hint="eastAsia" w:ascii="宋体" w:hAnsi="宋体" w:cs="宋体"/>
          <w:snapToGrid w:val="0"/>
          <w:color w:val="auto"/>
          <w:kern w:val="0"/>
          <w:szCs w:val="21"/>
        </w:rPr>
        <w:t>乙方须在本合同设备</w:t>
      </w:r>
      <w:r>
        <w:rPr>
          <w:rFonts w:hint="eastAsia" w:ascii="宋体" w:hAnsi="宋体" w:cs="宋体"/>
          <w:snapToGrid w:val="0"/>
          <w:color w:val="auto"/>
          <w:kern w:val="0"/>
          <w:szCs w:val="21"/>
          <w:lang w:val="en-US" w:eastAsia="zh-CN"/>
        </w:rPr>
        <w:t>验收</w:t>
      </w:r>
      <w:r>
        <w:rPr>
          <w:rFonts w:hint="eastAsia" w:ascii="宋体" w:hAnsi="宋体" w:cs="宋体"/>
          <w:snapToGrid w:val="0"/>
          <w:color w:val="auto"/>
          <w:kern w:val="0"/>
          <w:szCs w:val="21"/>
        </w:rPr>
        <w:t>合格后</w:t>
      </w:r>
      <w:r>
        <w:rPr>
          <w:rFonts w:ascii="宋体" w:hAnsi="宋体" w:cs="宋体"/>
          <w:snapToGrid w:val="0"/>
          <w:color w:val="auto"/>
          <w:kern w:val="0"/>
          <w:szCs w:val="21"/>
          <w:u w:val="single"/>
        </w:rPr>
        <w:t>30</w:t>
      </w:r>
      <w:r>
        <w:rPr>
          <w:rFonts w:hint="eastAsia" w:ascii="宋体" w:hAnsi="宋体" w:cs="宋体"/>
          <w:snapToGrid w:val="0"/>
          <w:color w:val="auto"/>
          <w:kern w:val="0"/>
          <w:szCs w:val="21"/>
        </w:rPr>
        <w:t>个工作日内完成系统安装并调测成功，如因甲方的原因无法完成，则合同中规定的工程实施进度顺延。</w:t>
      </w:r>
    </w:p>
    <w:p>
      <w:pPr>
        <w:tabs>
          <w:tab w:val="left" w:pos="600"/>
          <w:tab w:val="left" w:pos="720"/>
        </w:tabs>
        <w:spacing w:line="360" w:lineRule="auto"/>
        <w:ind w:firstLine="561"/>
        <w:rPr>
          <w:rFonts w:ascii="宋体" w:hAnsi="宋体" w:cs="宋体"/>
          <w:snapToGrid w:val="0"/>
          <w:color w:val="auto"/>
          <w:kern w:val="0"/>
          <w:szCs w:val="21"/>
        </w:rPr>
      </w:pPr>
      <w:r>
        <w:rPr>
          <w:rFonts w:ascii="宋体" w:hAnsi="宋体" w:cs="宋体"/>
          <w:snapToGrid w:val="0"/>
          <w:color w:val="auto"/>
          <w:kern w:val="0"/>
          <w:szCs w:val="21"/>
        </w:rPr>
        <w:t>4.</w:t>
      </w:r>
      <w:r>
        <w:rPr>
          <w:rFonts w:hint="eastAsia" w:ascii="宋体" w:hAnsi="宋体" w:cs="宋体"/>
          <w:snapToGrid w:val="0"/>
          <w:color w:val="auto"/>
          <w:kern w:val="0"/>
          <w:szCs w:val="21"/>
        </w:rPr>
        <w:t>乙方负责派专业工程师对所提供产品的进行安装、调试。在安装和质量保修期期间，乙方人员的一切费用均由乙方自行负责。</w:t>
      </w:r>
    </w:p>
    <w:p>
      <w:pPr>
        <w:tabs>
          <w:tab w:val="left" w:pos="600"/>
          <w:tab w:val="left" w:pos="720"/>
        </w:tabs>
        <w:spacing w:line="360" w:lineRule="auto"/>
        <w:ind w:firstLine="561"/>
        <w:rPr>
          <w:rFonts w:ascii="宋体" w:hAnsi="宋体" w:cs="宋体"/>
          <w:snapToGrid w:val="0"/>
          <w:color w:val="auto"/>
          <w:kern w:val="0"/>
          <w:szCs w:val="21"/>
        </w:rPr>
      </w:pPr>
      <w:r>
        <w:rPr>
          <w:rFonts w:ascii="宋体" w:hAnsi="宋体" w:cs="宋体"/>
          <w:snapToGrid w:val="0"/>
          <w:color w:val="auto"/>
          <w:kern w:val="0"/>
          <w:szCs w:val="21"/>
        </w:rPr>
        <w:t>5.</w:t>
      </w:r>
      <w:r>
        <w:rPr>
          <w:rFonts w:hint="eastAsia" w:ascii="宋体" w:hAnsi="宋体" w:cs="宋体"/>
          <w:snapToGrid w:val="0"/>
          <w:color w:val="auto"/>
          <w:kern w:val="0"/>
          <w:szCs w:val="21"/>
        </w:rPr>
        <w:t>乙方提供年的售后技术服务。技术服务的内容如下：</w:t>
      </w:r>
    </w:p>
    <w:p>
      <w:pPr>
        <w:tabs>
          <w:tab w:val="left" w:pos="1080"/>
        </w:tabs>
        <w:spacing w:line="360" w:lineRule="auto"/>
        <w:ind w:firstLine="561"/>
        <w:rPr>
          <w:rFonts w:ascii="宋体" w:hAnsi="宋体" w:cs="宋体"/>
          <w:snapToGrid w:val="0"/>
          <w:color w:val="auto"/>
          <w:kern w:val="0"/>
          <w:szCs w:val="21"/>
        </w:rPr>
      </w:pPr>
      <w:r>
        <w:rPr>
          <w:rFonts w:hint="eastAsia" w:ascii="宋体" w:hAnsi="宋体" w:cs="宋体"/>
          <w:snapToGrid w:val="0"/>
          <w:color w:val="auto"/>
          <w:kern w:val="0"/>
          <w:szCs w:val="21"/>
        </w:rPr>
        <w:t>（1）在保修期内，提供每日</w:t>
      </w:r>
      <w:r>
        <w:rPr>
          <w:rFonts w:hint="eastAsia" w:ascii="宋体" w:hAnsi="宋体" w:cs="宋体"/>
          <w:snapToGrid w:val="0"/>
          <w:color w:val="auto"/>
          <w:kern w:val="0"/>
          <w:szCs w:val="21"/>
          <w:u w:val="single"/>
          <w:lang w:val="en-US" w:eastAsia="zh-CN"/>
        </w:rPr>
        <w:t xml:space="preserve">  </w:t>
      </w:r>
      <w:r>
        <w:rPr>
          <w:rFonts w:hint="eastAsia" w:ascii="宋体" w:hAnsi="宋体" w:cs="宋体"/>
          <w:snapToGrid w:val="0"/>
          <w:color w:val="auto"/>
          <w:kern w:val="0"/>
          <w:szCs w:val="21"/>
        </w:rPr>
        <w:t>小时的电话支持，提供包括设备和维护管理的全部技术支持；</w:t>
      </w:r>
    </w:p>
    <w:p>
      <w:pPr>
        <w:tabs>
          <w:tab w:val="left" w:pos="1080"/>
        </w:tabs>
        <w:spacing w:line="360" w:lineRule="auto"/>
        <w:ind w:firstLine="561"/>
        <w:rPr>
          <w:rFonts w:ascii="宋体" w:hAnsi="宋体" w:cs="宋体"/>
          <w:snapToGrid w:val="0"/>
          <w:color w:val="auto"/>
          <w:kern w:val="0"/>
          <w:szCs w:val="21"/>
        </w:rPr>
      </w:pPr>
      <w:r>
        <w:rPr>
          <w:rFonts w:hint="eastAsia" w:ascii="宋体" w:hAnsi="宋体" w:cs="宋体"/>
          <w:snapToGrid w:val="0"/>
          <w:color w:val="auto"/>
          <w:kern w:val="0"/>
          <w:szCs w:val="21"/>
        </w:rPr>
        <w:t>（2）在保修期内，设备发生故障而影响业务时，</w:t>
      </w:r>
      <w:r>
        <w:rPr>
          <w:rFonts w:hint="eastAsia" w:ascii="宋体" w:hAnsi="宋体" w:cs="宋体"/>
          <w:snapToGrid w:val="0"/>
          <w:color w:val="auto"/>
          <w:kern w:val="0"/>
          <w:szCs w:val="21"/>
          <w:lang w:val="en-US" w:eastAsia="zh-CN"/>
        </w:rPr>
        <w:t>乙方先使用</w:t>
      </w:r>
      <w:r>
        <w:rPr>
          <w:rFonts w:hint="eastAsia" w:ascii="宋体" w:hAnsi="宋体" w:cs="宋体"/>
          <w:snapToGrid w:val="0"/>
          <w:color w:val="auto"/>
          <w:kern w:val="0"/>
          <w:szCs w:val="21"/>
        </w:rPr>
        <w:t>远程技术</w:t>
      </w:r>
      <w:r>
        <w:rPr>
          <w:rFonts w:hint="eastAsia" w:ascii="宋体" w:hAnsi="宋体" w:cs="宋体"/>
          <w:snapToGrid w:val="0"/>
          <w:color w:val="auto"/>
          <w:kern w:val="0"/>
          <w:szCs w:val="21"/>
          <w:lang w:val="en-US" w:eastAsia="zh-CN"/>
        </w:rPr>
        <w:t>进行技术指导，若仍</w:t>
      </w:r>
      <w:r>
        <w:rPr>
          <w:rFonts w:hint="eastAsia" w:ascii="宋体" w:hAnsi="宋体" w:cs="宋体"/>
          <w:snapToGrid w:val="0"/>
          <w:color w:val="auto"/>
          <w:kern w:val="0"/>
          <w:szCs w:val="21"/>
        </w:rPr>
        <w:t>不能解决问题时，乙方技术人员应以最快速度到达现场服务（</w:t>
      </w:r>
      <w:r>
        <w:rPr>
          <w:rFonts w:hint="eastAsia" w:ascii="宋体" w:hAnsi="宋体" w:cs="宋体"/>
          <w:snapToGrid w:val="0"/>
          <w:color w:val="auto"/>
          <w:kern w:val="0"/>
          <w:szCs w:val="21"/>
          <w:u w:val="single"/>
          <w:lang w:val="en-US" w:eastAsia="zh-CN"/>
        </w:rPr>
        <w:t xml:space="preserve">  </w:t>
      </w:r>
      <w:r>
        <w:rPr>
          <w:rFonts w:hint="eastAsia" w:ascii="宋体" w:hAnsi="宋体" w:cs="宋体"/>
          <w:snapToGrid w:val="0"/>
          <w:color w:val="auto"/>
          <w:kern w:val="0"/>
          <w:szCs w:val="21"/>
        </w:rPr>
        <w:t>分钟内回复，</w:t>
      </w:r>
      <w:r>
        <w:rPr>
          <w:rFonts w:hint="eastAsia" w:ascii="宋体" w:hAnsi="宋体" w:cs="宋体"/>
          <w:snapToGrid w:val="0"/>
          <w:color w:val="auto"/>
          <w:kern w:val="0"/>
          <w:szCs w:val="21"/>
          <w:u w:val="single"/>
          <w:lang w:val="en-US" w:eastAsia="zh-CN"/>
        </w:rPr>
        <w:t xml:space="preserve">  </w:t>
      </w:r>
      <w:r>
        <w:rPr>
          <w:rFonts w:hint="eastAsia" w:ascii="宋体" w:hAnsi="宋体" w:cs="宋体"/>
          <w:snapToGrid w:val="0"/>
          <w:color w:val="auto"/>
          <w:kern w:val="0"/>
          <w:szCs w:val="21"/>
        </w:rPr>
        <w:t>小时内到达现场解决问题）；</w:t>
      </w:r>
    </w:p>
    <w:p>
      <w:pPr>
        <w:tabs>
          <w:tab w:val="left" w:pos="1080"/>
        </w:tabs>
        <w:spacing w:line="360" w:lineRule="auto"/>
        <w:ind w:firstLine="525" w:firstLineChars="250"/>
        <w:rPr>
          <w:rFonts w:ascii="宋体" w:hAnsi="宋体" w:cs="宋体"/>
          <w:snapToGrid w:val="0"/>
          <w:color w:val="auto"/>
          <w:kern w:val="0"/>
          <w:szCs w:val="21"/>
        </w:rPr>
      </w:pPr>
      <w:r>
        <w:rPr>
          <w:rFonts w:hint="eastAsia" w:ascii="宋体" w:hAnsi="宋体" w:cs="宋体"/>
          <w:snapToGrid w:val="0"/>
          <w:color w:val="auto"/>
          <w:kern w:val="0"/>
          <w:szCs w:val="21"/>
        </w:rPr>
        <w:t xml:space="preserve"> (3）技术服务支持电话：</w:t>
      </w:r>
      <w:r>
        <w:rPr>
          <w:rFonts w:hint="eastAsia" w:ascii="宋体" w:hAnsi="宋体" w:cs="宋体"/>
          <w:snapToGrid w:val="0"/>
          <w:color w:val="auto"/>
          <w:kern w:val="0"/>
          <w:szCs w:val="21"/>
          <w:u w:val="single"/>
          <w:lang w:val="en-US" w:eastAsia="zh-CN"/>
        </w:rPr>
        <w:t xml:space="preserve">               </w:t>
      </w:r>
      <w:r>
        <w:rPr>
          <w:rFonts w:hint="eastAsia" w:ascii="宋体" w:hAnsi="宋体" w:cs="宋体"/>
          <w:snapToGrid w:val="0"/>
          <w:color w:val="auto"/>
          <w:kern w:val="0"/>
          <w:szCs w:val="21"/>
        </w:rPr>
        <w:t>；</w:t>
      </w:r>
    </w:p>
    <w:p>
      <w:pPr>
        <w:tabs>
          <w:tab w:val="left" w:pos="1080"/>
        </w:tabs>
        <w:spacing w:line="360" w:lineRule="auto"/>
        <w:ind w:firstLine="561"/>
        <w:rPr>
          <w:rFonts w:ascii="宋体" w:hAnsi="宋体" w:cs="宋体"/>
          <w:snapToGrid w:val="0"/>
          <w:color w:val="auto"/>
          <w:kern w:val="0"/>
          <w:szCs w:val="21"/>
        </w:rPr>
      </w:pPr>
      <w:r>
        <w:rPr>
          <w:rFonts w:hint="eastAsia" w:ascii="宋体" w:hAnsi="宋体" w:cs="宋体"/>
          <w:snapToGrid w:val="0"/>
          <w:color w:val="auto"/>
          <w:kern w:val="0"/>
          <w:szCs w:val="21"/>
        </w:rPr>
        <w:t>（4）在保修期内，若设备出现故障或缺陷，乙方应及时将出现的故障和缺陷通知甲方，并将与故障或缺陷有关的工作日志和记录交给甲方。乙方提供快速备件服务，完好备件在</w:t>
      </w:r>
      <w:r>
        <w:rPr>
          <w:rFonts w:ascii="宋体" w:hAnsi="宋体" w:cs="宋体"/>
          <w:snapToGrid w:val="0"/>
          <w:color w:val="auto"/>
          <w:kern w:val="0"/>
          <w:szCs w:val="21"/>
          <w:u w:val="single"/>
        </w:rPr>
        <w:t>7</w:t>
      </w:r>
      <w:r>
        <w:rPr>
          <w:rFonts w:hint="eastAsia" w:ascii="宋体" w:hAnsi="宋体" w:cs="宋体"/>
          <w:snapToGrid w:val="0"/>
          <w:color w:val="auto"/>
          <w:kern w:val="0"/>
          <w:szCs w:val="21"/>
        </w:rPr>
        <w:t>天内运抵故障现场，所需一切费用由乙方承担。</w:t>
      </w:r>
    </w:p>
    <w:p>
      <w:pPr>
        <w:tabs>
          <w:tab w:val="left" w:pos="600"/>
        </w:tabs>
        <w:spacing w:line="360" w:lineRule="auto"/>
        <w:ind w:firstLine="560"/>
        <w:rPr>
          <w:rFonts w:ascii="宋体" w:hAnsi="宋体" w:cs="宋体"/>
          <w:snapToGrid w:val="0"/>
          <w:color w:val="auto"/>
          <w:kern w:val="0"/>
          <w:szCs w:val="21"/>
        </w:rPr>
      </w:pPr>
      <w:r>
        <w:rPr>
          <w:rFonts w:ascii="宋体" w:hAnsi="宋体" w:cs="宋体"/>
          <w:snapToGrid w:val="0"/>
          <w:color w:val="auto"/>
          <w:kern w:val="0"/>
          <w:szCs w:val="21"/>
        </w:rPr>
        <w:t>6.</w:t>
      </w:r>
      <w:r>
        <w:rPr>
          <w:rFonts w:hint="eastAsia" w:ascii="宋体" w:hAnsi="宋体" w:cs="宋体"/>
          <w:snapToGrid w:val="0"/>
          <w:color w:val="auto"/>
          <w:kern w:val="0"/>
          <w:szCs w:val="21"/>
        </w:rPr>
        <w:t>如因乙方所提供的技术资料有误，或因乙方在现场的技术人员操作有误，致使合同设备无法达到甲方规定的功能和需求，乙方应及时负责改进和调试，由此引起的相应责任由乙方承担。</w:t>
      </w:r>
    </w:p>
    <w:p>
      <w:pPr>
        <w:spacing w:line="360" w:lineRule="auto"/>
        <w:ind w:firstLine="539" w:firstLineChars="257"/>
        <w:rPr>
          <w:rFonts w:ascii="宋体" w:hAnsi="宋体" w:cs="宋体"/>
          <w:snapToGrid w:val="0"/>
          <w:color w:val="auto"/>
          <w:kern w:val="0"/>
          <w:szCs w:val="21"/>
        </w:rPr>
      </w:pPr>
      <w:r>
        <w:rPr>
          <w:rFonts w:hint="eastAsia" w:ascii="宋体" w:hAnsi="宋体" w:cs="宋体"/>
          <w:snapToGrid w:val="0"/>
          <w:color w:val="auto"/>
          <w:kern w:val="0"/>
          <w:szCs w:val="21"/>
        </w:rPr>
        <w:t>7</w:t>
      </w:r>
      <w:r>
        <w:rPr>
          <w:rFonts w:ascii="宋体" w:hAnsi="宋体" w:cs="宋体"/>
          <w:snapToGrid w:val="0"/>
          <w:color w:val="auto"/>
          <w:kern w:val="0"/>
          <w:szCs w:val="21"/>
        </w:rPr>
        <w:t>.</w:t>
      </w:r>
      <w:r>
        <w:rPr>
          <w:rFonts w:hint="eastAsia" w:ascii="宋体" w:hAnsi="宋体" w:cs="宋体"/>
          <w:snapToGrid w:val="0"/>
          <w:color w:val="auto"/>
          <w:kern w:val="0"/>
          <w:szCs w:val="21"/>
        </w:rPr>
        <w:t>在保修期内，乙方及时为甲方的设备提供免费的软件升级。</w:t>
      </w:r>
    </w:p>
    <w:p>
      <w:pPr>
        <w:spacing w:line="360" w:lineRule="auto"/>
        <w:ind w:firstLine="539" w:firstLineChars="257"/>
        <w:rPr>
          <w:rFonts w:ascii="宋体" w:hAnsi="宋体" w:cs="宋体"/>
          <w:snapToGrid w:val="0"/>
          <w:color w:val="auto"/>
          <w:kern w:val="0"/>
          <w:szCs w:val="21"/>
        </w:rPr>
      </w:pPr>
      <w:r>
        <w:rPr>
          <w:rFonts w:hint="eastAsia" w:ascii="宋体" w:hAnsi="宋体" w:cs="宋体"/>
          <w:snapToGrid w:val="0"/>
          <w:color w:val="auto"/>
          <w:kern w:val="0"/>
          <w:szCs w:val="21"/>
        </w:rPr>
        <w:t>8</w:t>
      </w:r>
      <w:r>
        <w:rPr>
          <w:rFonts w:ascii="宋体" w:hAnsi="宋体" w:cs="宋体"/>
          <w:snapToGrid w:val="0"/>
          <w:color w:val="auto"/>
          <w:kern w:val="0"/>
          <w:szCs w:val="21"/>
        </w:rPr>
        <w:t>.</w:t>
      </w:r>
      <w:r>
        <w:rPr>
          <w:rFonts w:hint="eastAsia" w:ascii="宋体" w:hAnsi="宋体" w:cs="宋体"/>
          <w:color w:val="auto"/>
          <w:szCs w:val="21"/>
        </w:rPr>
        <w:t>除甲方的原因外，乙方自行负责在项目建设和维护过程中所发生的人员伤亡和财产损失。</w:t>
      </w:r>
    </w:p>
    <w:p>
      <w:pPr>
        <w:spacing w:line="360" w:lineRule="auto"/>
        <w:rPr>
          <w:rFonts w:ascii="宋体" w:hAnsi="宋体" w:cs="宋体"/>
          <w:b/>
          <w:snapToGrid w:val="0"/>
          <w:color w:val="auto"/>
          <w:kern w:val="0"/>
          <w:szCs w:val="21"/>
        </w:rPr>
      </w:pPr>
      <w:r>
        <w:rPr>
          <w:rFonts w:hint="eastAsia" w:ascii="宋体" w:hAnsi="宋体" w:cs="宋体"/>
          <w:b/>
          <w:snapToGrid w:val="0"/>
          <w:color w:val="auto"/>
          <w:kern w:val="0"/>
          <w:szCs w:val="21"/>
        </w:rPr>
        <w:t xml:space="preserve">     第六条 违约责任</w:t>
      </w:r>
    </w:p>
    <w:p>
      <w:pPr>
        <w:spacing w:line="360" w:lineRule="auto"/>
        <w:ind w:firstLine="420" w:firstLineChars="200"/>
        <w:rPr>
          <w:rFonts w:ascii="宋体" w:hAnsi="宋体" w:cs="宋体"/>
          <w:snapToGrid w:val="0"/>
          <w:color w:val="auto"/>
          <w:kern w:val="0"/>
          <w:szCs w:val="21"/>
        </w:rPr>
      </w:pPr>
      <w:r>
        <w:rPr>
          <w:rFonts w:ascii="宋体" w:hAnsi="宋体" w:cs="宋体"/>
          <w:snapToGrid w:val="0"/>
          <w:color w:val="auto"/>
          <w:kern w:val="0"/>
          <w:szCs w:val="21"/>
        </w:rPr>
        <w:t>1.</w:t>
      </w:r>
      <w:r>
        <w:rPr>
          <w:rFonts w:hint="eastAsia" w:ascii="宋体" w:hAnsi="宋体" w:cs="宋体"/>
          <w:snapToGrid w:val="0"/>
          <w:color w:val="auto"/>
          <w:kern w:val="0"/>
          <w:szCs w:val="21"/>
        </w:rPr>
        <w:t>乙方逾期交货的，每逾期一日，按逾期交货部分总值的0</w:t>
      </w:r>
      <w:r>
        <w:rPr>
          <w:rFonts w:ascii="宋体" w:hAnsi="宋体" w:cs="宋体"/>
          <w:snapToGrid w:val="0"/>
          <w:color w:val="auto"/>
          <w:kern w:val="0"/>
          <w:szCs w:val="21"/>
        </w:rPr>
        <w:t>.5</w:t>
      </w:r>
      <w:r>
        <w:rPr>
          <w:rFonts w:hint="eastAsia" w:ascii="宋体" w:hAnsi="宋体" w:cs="宋体"/>
          <w:snapToGrid w:val="0"/>
          <w:color w:val="auto"/>
          <w:kern w:val="0"/>
          <w:szCs w:val="21"/>
        </w:rPr>
        <w:t>%向甲方支付违约金；若乙方逾期交货超过</w:t>
      </w:r>
      <w:r>
        <w:rPr>
          <w:rFonts w:hint="eastAsia" w:ascii="宋体" w:hAnsi="宋体" w:cs="宋体"/>
          <w:snapToGrid w:val="0"/>
          <w:color w:val="auto"/>
          <w:kern w:val="0"/>
          <w:szCs w:val="21"/>
          <w:u w:val="single"/>
        </w:rPr>
        <w:t>60</w:t>
      </w:r>
      <w:r>
        <w:rPr>
          <w:rFonts w:hint="eastAsia" w:ascii="宋体" w:hAnsi="宋体" w:cs="宋体"/>
          <w:snapToGrid w:val="0"/>
          <w:color w:val="auto"/>
          <w:kern w:val="0"/>
          <w:szCs w:val="21"/>
        </w:rPr>
        <w:t>日的，甲方有权单方解除合同，乙方除支付违约金外，还应承担由此产生的直接经济损失。</w:t>
      </w:r>
    </w:p>
    <w:p>
      <w:pPr>
        <w:spacing w:line="360" w:lineRule="auto"/>
        <w:ind w:firstLine="420" w:firstLineChars="200"/>
        <w:rPr>
          <w:rFonts w:ascii="宋体" w:hAnsi="宋体" w:cs="宋体"/>
          <w:snapToGrid w:val="0"/>
          <w:color w:val="auto"/>
          <w:kern w:val="0"/>
          <w:szCs w:val="21"/>
        </w:rPr>
      </w:pPr>
      <w:r>
        <w:rPr>
          <w:rFonts w:ascii="宋体" w:hAnsi="宋体" w:cs="宋体"/>
          <w:snapToGrid w:val="0"/>
          <w:color w:val="auto"/>
          <w:kern w:val="0"/>
          <w:szCs w:val="21"/>
        </w:rPr>
        <w:t>2.</w:t>
      </w:r>
      <w:r>
        <w:rPr>
          <w:rFonts w:hint="eastAsia" w:ascii="宋体" w:hAnsi="宋体" w:cs="宋体"/>
          <w:snapToGrid w:val="0"/>
          <w:color w:val="auto"/>
          <w:kern w:val="0"/>
          <w:szCs w:val="21"/>
        </w:rPr>
        <w:t>甲方逾期付款，则每逾期一日，按逾期付款金额的</w:t>
      </w:r>
      <w:r>
        <w:rPr>
          <w:rFonts w:ascii="宋体" w:hAnsi="宋体" w:cs="宋体"/>
          <w:snapToGrid w:val="0"/>
          <w:color w:val="auto"/>
          <w:kern w:val="0"/>
          <w:szCs w:val="21"/>
        </w:rPr>
        <w:t>0.5%</w:t>
      </w:r>
      <w:r>
        <w:rPr>
          <w:rFonts w:hint="eastAsia" w:ascii="宋体" w:hAnsi="宋体" w:cs="宋体"/>
          <w:snapToGrid w:val="0"/>
          <w:color w:val="auto"/>
          <w:kern w:val="0"/>
          <w:szCs w:val="21"/>
        </w:rPr>
        <w:t>向乙方支付违约金，但违约金总额不超过合同总金额的</w:t>
      </w:r>
      <w:r>
        <w:rPr>
          <w:rFonts w:ascii="宋体" w:hAnsi="宋体" w:cs="宋体"/>
          <w:snapToGrid w:val="0"/>
          <w:color w:val="auto"/>
          <w:kern w:val="0"/>
          <w:szCs w:val="21"/>
        </w:rPr>
        <w:t>0.5%</w:t>
      </w:r>
      <w:r>
        <w:rPr>
          <w:rFonts w:hint="eastAsia" w:ascii="宋体" w:hAnsi="宋体" w:cs="宋体"/>
          <w:snapToGrid w:val="0"/>
          <w:color w:val="auto"/>
          <w:kern w:val="0"/>
          <w:szCs w:val="21"/>
        </w:rPr>
        <w:t>。</w:t>
      </w:r>
    </w:p>
    <w:p>
      <w:pPr>
        <w:spacing w:line="360" w:lineRule="auto"/>
        <w:ind w:firstLine="420" w:firstLineChars="200"/>
        <w:rPr>
          <w:rFonts w:ascii="宋体" w:hAnsi="宋体" w:cs="宋体"/>
          <w:snapToGrid w:val="0"/>
          <w:color w:val="auto"/>
          <w:kern w:val="0"/>
          <w:szCs w:val="21"/>
        </w:rPr>
      </w:pPr>
      <w:r>
        <w:rPr>
          <w:rFonts w:ascii="宋体" w:hAnsi="宋体" w:cs="宋体"/>
          <w:snapToGrid w:val="0"/>
          <w:color w:val="auto"/>
          <w:kern w:val="0"/>
          <w:szCs w:val="21"/>
        </w:rPr>
        <w:t>3.</w:t>
      </w:r>
      <w:r>
        <w:rPr>
          <w:rFonts w:hint="eastAsia" w:ascii="宋体" w:hAnsi="宋体" w:cs="宋体"/>
          <w:snapToGrid w:val="0"/>
          <w:color w:val="auto"/>
          <w:kern w:val="0"/>
          <w:szCs w:val="21"/>
        </w:rPr>
        <w:t>在质量保证期内，因乙方的所投设备或者集成技术方案原因，造成整个系统无法正常运行超过3次（包括3次），乙方按合同总金额的2%向甲方支付违约金。</w:t>
      </w:r>
    </w:p>
    <w:p>
      <w:pPr>
        <w:spacing w:line="360" w:lineRule="auto"/>
        <w:ind w:firstLine="420" w:firstLineChars="200"/>
        <w:rPr>
          <w:rFonts w:ascii="宋体" w:hAnsi="宋体" w:cs="宋体"/>
          <w:snapToGrid w:val="0"/>
          <w:color w:val="auto"/>
          <w:kern w:val="0"/>
          <w:szCs w:val="21"/>
        </w:rPr>
      </w:pPr>
      <w:r>
        <w:rPr>
          <w:rFonts w:ascii="宋体" w:hAnsi="宋体" w:cs="宋体"/>
          <w:snapToGrid w:val="0"/>
          <w:color w:val="auto"/>
          <w:kern w:val="0"/>
          <w:szCs w:val="21"/>
        </w:rPr>
        <w:t>4.</w:t>
      </w:r>
      <w:r>
        <w:rPr>
          <w:rFonts w:hint="eastAsia" w:ascii="宋体" w:hAnsi="宋体" w:cs="宋体"/>
          <w:snapToGrid w:val="0"/>
          <w:color w:val="auto"/>
          <w:kern w:val="0"/>
          <w:szCs w:val="21"/>
        </w:rPr>
        <w:t>在质量保证期内，因乙方无法履行义务超过2次（包括2次），乙方按合同总金额的</w:t>
      </w:r>
      <w:r>
        <w:rPr>
          <w:rFonts w:hint="eastAsia" w:ascii="宋体" w:hAnsi="宋体" w:cs="宋体"/>
          <w:snapToGrid w:val="0"/>
          <w:color w:val="auto"/>
          <w:kern w:val="0"/>
          <w:szCs w:val="21"/>
          <w:u w:val="single"/>
        </w:rPr>
        <w:t>2</w:t>
      </w:r>
      <w:r>
        <w:rPr>
          <w:rFonts w:hint="eastAsia" w:ascii="宋体" w:hAnsi="宋体" w:cs="宋体"/>
          <w:snapToGrid w:val="0"/>
          <w:color w:val="auto"/>
          <w:kern w:val="0"/>
          <w:szCs w:val="21"/>
        </w:rPr>
        <w:t>%向甲方支付违约金。</w:t>
      </w:r>
    </w:p>
    <w:p>
      <w:pPr>
        <w:spacing w:line="360" w:lineRule="auto"/>
        <w:ind w:firstLine="420" w:firstLineChars="200"/>
        <w:rPr>
          <w:rFonts w:ascii="宋体" w:hAnsi="宋体" w:cs="宋体"/>
          <w:snapToGrid w:val="0"/>
          <w:color w:val="auto"/>
          <w:kern w:val="0"/>
          <w:szCs w:val="21"/>
        </w:rPr>
      </w:pPr>
      <w:r>
        <w:rPr>
          <w:rFonts w:ascii="宋体" w:hAnsi="宋体" w:cs="宋体"/>
          <w:snapToGrid w:val="0"/>
          <w:color w:val="auto"/>
          <w:kern w:val="0"/>
          <w:szCs w:val="21"/>
        </w:rPr>
        <w:t>5.</w:t>
      </w:r>
      <w:r>
        <w:rPr>
          <w:rFonts w:hint="eastAsia" w:ascii="宋体" w:hAnsi="宋体" w:cs="宋体"/>
          <w:snapToGrid w:val="0"/>
          <w:color w:val="auto"/>
          <w:kern w:val="0"/>
          <w:szCs w:val="21"/>
        </w:rPr>
        <w:t>因乙方原因，造成安装工期延误，乙方应向甲方支付违约金</w:t>
      </w:r>
      <w:r>
        <w:rPr>
          <w:rFonts w:ascii="宋体" w:hAnsi="宋体" w:cs="宋体"/>
          <w:snapToGrid w:val="0"/>
          <w:color w:val="auto"/>
          <w:kern w:val="0"/>
          <w:szCs w:val="21"/>
          <w:u w:val="single"/>
        </w:rPr>
        <w:t>500</w:t>
      </w:r>
      <w:r>
        <w:rPr>
          <w:rFonts w:hint="eastAsia" w:ascii="宋体" w:hAnsi="宋体" w:cs="宋体"/>
          <w:snapToGrid w:val="0"/>
          <w:color w:val="auto"/>
          <w:kern w:val="0"/>
          <w:szCs w:val="21"/>
        </w:rPr>
        <w:t>元/日，超过</w:t>
      </w:r>
      <w:r>
        <w:rPr>
          <w:rFonts w:hint="eastAsia" w:ascii="宋体" w:hAnsi="宋体" w:cs="宋体"/>
          <w:snapToGrid w:val="0"/>
          <w:color w:val="auto"/>
          <w:kern w:val="0"/>
          <w:szCs w:val="21"/>
          <w:u w:val="single"/>
        </w:rPr>
        <w:t>30</w:t>
      </w:r>
      <w:r>
        <w:rPr>
          <w:rFonts w:hint="eastAsia" w:ascii="宋体" w:hAnsi="宋体" w:cs="宋体"/>
          <w:snapToGrid w:val="0"/>
          <w:color w:val="auto"/>
          <w:kern w:val="0"/>
          <w:szCs w:val="21"/>
        </w:rPr>
        <w:t>日，甲方有权单方面解除合同，并由乙方赔偿甲方因此所受的损失。由于恶劣天气（雨、雪等）和自然灾害（地震、冰雹、滑坡等）造成乙方安装工期延误的情况，乙方不承担责任。</w:t>
      </w:r>
    </w:p>
    <w:p>
      <w:pPr>
        <w:spacing w:line="360" w:lineRule="auto"/>
        <w:ind w:firstLine="420" w:firstLineChars="200"/>
        <w:rPr>
          <w:rFonts w:ascii="宋体" w:hAnsi="宋体" w:cs="宋体"/>
          <w:b/>
          <w:snapToGrid w:val="0"/>
          <w:color w:val="auto"/>
          <w:kern w:val="0"/>
          <w:szCs w:val="21"/>
        </w:rPr>
      </w:pPr>
      <w:r>
        <w:rPr>
          <w:rFonts w:ascii="宋体" w:hAnsi="宋体" w:cs="宋体"/>
          <w:snapToGrid w:val="0"/>
          <w:color w:val="auto"/>
          <w:kern w:val="0"/>
          <w:szCs w:val="21"/>
        </w:rPr>
        <w:t>6.</w:t>
      </w:r>
      <w:r>
        <w:rPr>
          <w:rFonts w:hint="eastAsia" w:ascii="宋体" w:hAnsi="宋体" w:cs="宋体"/>
          <w:snapToGrid w:val="0"/>
          <w:color w:val="auto"/>
          <w:kern w:val="0"/>
          <w:szCs w:val="21"/>
        </w:rPr>
        <w:t>除上述事项外，任何一方违反本合同的约定，违约方应向守约方支付合同总金额的</w:t>
      </w:r>
      <w:r>
        <w:rPr>
          <w:rFonts w:hint="eastAsia" w:ascii="宋体" w:hAnsi="宋体" w:cs="宋体"/>
          <w:b/>
          <w:bCs/>
          <w:snapToGrid w:val="0"/>
          <w:color w:val="auto"/>
          <w:kern w:val="0"/>
          <w:szCs w:val="21"/>
          <w:u w:val="single"/>
        </w:rPr>
        <w:t>5</w:t>
      </w:r>
      <w:r>
        <w:rPr>
          <w:rFonts w:hint="eastAsia" w:ascii="宋体" w:hAnsi="宋体" w:cs="宋体"/>
          <w:snapToGrid w:val="0"/>
          <w:color w:val="auto"/>
          <w:kern w:val="0"/>
          <w:szCs w:val="21"/>
          <w:u w:val="single"/>
        </w:rPr>
        <w:t>%</w:t>
      </w:r>
      <w:r>
        <w:rPr>
          <w:rFonts w:hint="eastAsia" w:ascii="宋体" w:hAnsi="宋体" w:cs="宋体"/>
          <w:snapToGrid w:val="0"/>
          <w:color w:val="auto"/>
          <w:kern w:val="0"/>
          <w:szCs w:val="21"/>
        </w:rPr>
        <w:t>违约金，如给守约方造成损失的，违约方还应赔偿守约方所受的损失。</w:t>
      </w:r>
    </w:p>
    <w:p>
      <w:pPr>
        <w:spacing w:line="360" w:lineRule="auto"/>
        <w:ind w:firstLine="422" w:firstLineChars="200"/>
        <w:rPr>
          <w:rFonts w:ascii="宋体" w:hAnsi="宋体" w:cs="宋体"/>
          <w:b/>
          <w:snapToGrid w:val="0"/>
          <w:color w:val="auto"/>
          <w:kern w:val="0"/>
          <w:szCs w:val="21"/>
        </w:rPr>
      </w:pPr>
      <w:r>
        <w:rPr>
          <w:rFonts w:hint="eastAsia" w:ascii="宋体" w:hAnsi="宋体" w:cs="宋体"/>
          <w:b/>
          <w:snapToGrid w:val="0"/>
          <w:color w:val="auto"/>
          <w:kern w:val="0"/>
          <w:szCs w:val="21"/>
        </w:rPr>
        <w:t>第七条 免责</w:t>
      </w:r>
    </w:p>
    <w:p>
      <w:pPr>
        <w:spacing w:line="360" w:lineRule="auto"/>
        <w:ind w:firstLine="420" w:firstLineChars="200"/>
        <w:rPr>
          <w:rFonts w:ascii="宋体" w:hAnsi="宋体" w:cs="宋体"/>
          <w:snapToGrid w:val="0"/>
          <w:color w:val="auto"/>
          <w:kern w:val="0"/>
          <w:szCs w:val="21"/>
        </w:rPr>
      </w:pPr>
      <w:r>
        <w:rPr>
          <w:rFonts w:hint="eastAsia" w:ascii="宋体" w:hAnsi="宋体" w:cs="宋体"/>
          <w:snapToGrid w:val="0"/>
          <w:color w:val="auto"/>
          <w:kern w:val="0"/>
          <w:szCs w:val="21"/>
        </w:rPr>
        <w:t>因不可抗力导致甲乙双方或一方不能履行或不能完全履行本合同项下有关义务时，甲乙双方相互不承担违约责任。但遇有不可抗力的一方或双方应于不可抗力发生后十五日内将情况告之对方，并提供有关部门的证明。在不可抗力影响消除后的合理时间内，一方或双方应当继续履行合同。</w:t>
      </w:r>
    </w:p>
    <w:p>
      <w:pPr>
        <w:spacing w:line="360" w:lineRule="auto"/>
        <w:rPr>
          <w:rFonts w:ascii="宋体" w:hAnsi="宋体" w:cs="宋体"/>
          <w:b/>
          <w:snapToGrid w:val="0"/>
          <w:color w:val="auto"/>
          <w:kern w:val="0"/>
          <w:szCs w:val="21"/>
        </w:rPr>
      </w:pPr>
      <w:r>
        <w:rPr>
          <w:rFonts w:hint="eastAsia" w:ascii="宋体" w:hAnsi="宋体" w:cs="宋体"/>
          <w:b/>
          <w:snapToGrid w:val="0"/>
          <w:color w:val="auto"/>
          <w:kern w:val="0"/>
          <w:szCs w:val="21"/>
        </w:rPr>
        <w:t xml:space="preserve">    第八条 保密</w:t>
      </w:r>
    </w:p>
    <w:p>
      <w:pPr>
        <w:spacing w:line="360" w:lineRule="auto"/>
        <w:ind w:firstLine="420" w:firstLineChars="200"/>
        <w:rPr>
          <w:rFonts w:ascii="宋体" w:hAnsi="宋体" w:cs="宋体"/>
          <w:snapToGrid w:val="0"/>
          <w:kern w:val="0"/>
          <w:szCs w:val="21"/>
        </w:rPr>
      </w:pPr>
      <w:r>
        <w:rPr>
          <w:rFonts w:ascii="宋体" w:hAnsi="宋体" w:cs="宋体"/>
          <w:snapToGrid w:val="0"/>
          <w:color w:val="auto"/>
          <w:kern w:val="0"/>
          <w:szCs w:val="21"/>
        </w:rPr>
        <w:t>1.</w:t>
      </w:r>
      <w:r>
        <w:rPr>
          <w:rFonts w:hint="eastAsia" w:ascii="宋体" w:hAnsi="宋体" w:cs="宋体"/>
          <w:snapToGrid w:val="0"/>
          <w:color w:val="auto"/>
          <w:kern w:val="0"/>
          <w:szCs w:val="21"/>
        </w:rPr>
        <w:t>本合同项下用户的信息、知识、数据、图纸、分析、计算等文件、资料或其他任何智力成果以及任何包括或根据全部或部分该等信息</w:t>
      </w:r>
      <w:r>
        <w:rPr>
          <w:rFonts w:hint="eastAsia" w:ascii="宋体" w:hAnsi="宋体" w:cs="宋体"/>
          <w:snapToGrid w:val="0"/>
          <w:kern w:val="0"/>
          <w:szCs w:val="21"/>
        </w:rPr>
        <w:t>而形成的材料为保密信息。但上述保密信息不应包括以下信息:</w:t>
      </w:r>
    </w:p>
    <w:p>
      <w:pPr>
        <w:spacing w:line="360" w:lineRule="auto"/>
        <w:rPr>
          <w:rFonts w:ascii="宋体" w:hAnsi="宋体" w:cs="宋体"/>
          <w:snapToGrid w:val="0"/>
          <w:kern w:val="0"/>
          <w:szCs w:val="21"/>
        </w:rPr>
      </w:pPr>
      <w:r>
        <w:rPr>
          <w:rFonts w:hint="eastAsia" w:ascii="宋体" w:hAnsi="宋体" w:cs="宋体"/>
          <w:snapToGrid w:val="0"/>
          <w:kern w:val="0"/>
          <w:szCs w:val="21"/>
        </w:rPr>
        <w:t xml:space="preserve">    （1）任何甲方在受让前已经获知的信息；</w:t>
      </w:r>
    </w:p>
    <w:p>
      <w:pPr>
        <w:spacing w:line="360" w:lineRule="auto"/>
        <w:rPr>
          <w:rFonts w:ascii="宋体" w:hAnsi="宋体" w:cs="宋体"/>
          <w:snapToGrid w:val="0"/>
          <w:kern w:val="0"/>
          <w:szCs w:val="21"/>
        </w:rPr>
      </w:pPr>
      <w:r>
        <w:rPr>
          <w:rFonts w:hint="eastAsia" w:ascii="宋体" w:hAnsi="宋体" w:cs="宋体"/>
          <w:snapToGrid w:val="0"/>
          <w:kern w:val="0"/>
          <w:szCs w:val="21"/>
        </w:rPr>
        <w:t xml:space="preserve">    （2）任何众所周知或由于非甲方原因而变为众所周知的信息；</w:t>
      </w:r>
    </w:p>
    <w:p>
      <w:pPr>
        <w:spacing w:line="360" w:lineRule="auto"/>
        <w:rPr>
          <w:rFonts w:ascii="宋体" w:hAnsi="宋体" w:cs="宋体"/>
          <w:snapToGrid w:val="0"/>
          <w:kern w:val="0"/>
          <w:szCs w:val="21"/>
        </w:rPr>
      </w:pPr>
      <w:r>
        <w:rPr>
          <w:rFonts w:hint="eastAsia" w:ascii="宋体" w:hAnsi="宋体" w:cs="宋体"/>
          <w:snapToGrid w:val="0"/>
          <w:kern w:val="0"/>
          <w:szCs w:val="21"/>
        </w:rPr>
        <w:t xml:space="preserve">    （3）任何甲方从无须承担保密义务且有权转让的第三方处获得的信息；</w:t>
      </w:r>
    </w:p>
    <w:p>
      <w:pPr>
        <w:spacing w:line="360" w:lineRule="auto"/>
        <w:rPr>
          <w:rFonts w:ascii="宋体" w:hAnsi="宋体" w:cs="宋体"/>
          <w:snapToGrid w:val="0"/>
          <w:kern w:val="0"/>
          <w:szCs w:val="21"/>
        </w:rPr>
      </w:pPr>
      <w:r>
        <w:rPr>
          <w:rFonts w:hint="eastAsia" w:ascii="宋体" w:hAnsi="宋体" w:cs="宋体"/>
          <w:snapToGrid w:val="0"/>
          <w:kern w:val="0"/>
          <w:szCs w:val="21"/>
        </w:rPr>
        <w:t xml:space="preserve">    （4）由甲方独立发展的信息；</w:t>
      </w:r>
    </w:p>
    <w:p>
      <w:pPr>
        <w:spacing w:line="360" w:lineRule="auto"/>
        <w:rPr>
          <w:rFonts w:ascii="宋体" w:hAnsi="宋体" w:cs="宋体"/>
          <w:snapToGrid w:val="0"/>
          <w:kern w:val="0"/>
          <w:szCs w:val="21"/>
        </w:rPr>
      </w:pPr>
      <w:r>
        <w:rPr>
          <w:rFonts w:hint="eastAsia" w:ascii="宋体" w:hAnsi="宋体" w:cs="宋体"/>
          <w:snapToGrid w:val="0"/>
          <w:kern w:val="0"/>
          <w:szCs w:val="21"/>
        </w:rPr>
        <w:t xml:space="preserve">    （5）由乙方在本合同签订前授权甲方发布的信息；</w:t>
      </w:r>
    </w:p>
    <w:p>
      <w:pPr>
        <w:spacing w:line="360" w:lineRule="auto"/>
        <w:rPr>
          <w:rFonts w:ascii="宋体" w:hAnsi="宋体" w:cs="宋体"/>
          <w:snapToGrid w:val="0"/>
          <w:kern w:val="0"/>
          <w:szCs w:val="21"/>
        </w:rPr>
      </w:pPr>
      <w:r>
        <w:rPr>
          <w:rFonts w:hint="eastAsia" w:ascii="宋体" w:hAnsi="宋体" w:cs="宋体"/>
          <w:snapToGrid w:val="0"/>
          <w:kern w:val="0"/>
          <w:szCs w:val="21"/>
        </w:rPr>
        <w:t xml:space="preserve">    （6）任何法律规定、政府指令、法院命令和/或任何一方控股公司注册的证券交易所要求披露的信息。</w:t>
      </w:r>
    </w:p>
    <w:p>
      <w:pPr>
        <w:spacing w:line="360" w:lineRule="auto"/>
        <w:ind w:firstLine="420" w:firstLineChars="200"/>
        <w:rPr>
          <w:rFonts w:ascii="宋体" w:hAnsi="宋体" w:cs="宋体"/>
          <w:snapToGrid w:val="0"/>
          <w:kern w:val="0"/>
          <w:szCs w:val="21"/>
        </w:rPr>
      </w:pPr>
      <w:r>
        <w:rPr>
          <w:rFonts w:ascii="宋体" w:hAnsi="宋体" w:cs="宋体"/>
          <w:snapToGrid w:val="0"/>
          <w:kern w:val="0"/>
          <w:szCs w:val="21"/>
        </w:rPr>
        <w:t>2.</w:t>
      </w:r>
      <w:r>
        <w:rPr>
          <w:rFonts w:hint="eastAsia" w:ascii="宋体" w:hAnsi="宋体" w:cs="宋体"/>
          <w:snapToGrid w:val="0"/>
          <w:kern w:val="0"/>
          <w:szCs w:val="21"/>
        </w:rPr>
        <w:t>乙方同意在本协议期间及之后的</w:t>
      </w:r>
      <w:r>
        <w:rPr>
          <w:rFonts w:hint="eastAsia" w:ascii="宋体" w:hAnsi="宋体" w:cs="宋体"/>
          <w:snapToGrid w:val="0"/>
          <w:kern w:val="0"/>
          <w:szCs w:val="21"/>
          <w:u w:val="single"/>
        </w:rPr>
        <w:t>五</w:t>
      </w:r>
      <w:r>
        <w:rPr>
          <w:rFonts w:hint="eastAsia" w:ascii="宋体" w:hAnsi="宋体" w:cs="宋体"/>
          <w:snapToGrid w:val="0"/>
          <w:kern w:val="0"/>
          <w:szCs w:val="21"/>
        </w:rPr>
        <w:t>年内，在未获得甲方任何事先书面同意前，不因任何理由或目的将保密信息披露予任何其他第三方。如因乙方原因(包括已经离开乙方的人员)泄密，乙方承担合同金额</w:t>
      </w:r>
      <w:r>
        <w:rPr>
          <w:rFonts w:ascii="宋体" w:hAnsi="宋体" w:cs="宋体"/>
          <w:snapToGrid w:val="0"/>
          <w:kern w:val="0"/>
          <w:szCs w:val="21"/>
          <w:u w:val="single"/>
        </w:rPr>
        <w:t>0.5</w:t>
      </w:r>
      <w:r>
        <w:rPr>
          <w:rFonts w:hint="eastAsia" w:ascii="宋体" w:hAnsi="宋体" w:cs="宋体"/>
          <w:snapToGrid w:val="0"/>
          <w:kern w:val="0"/>
          <w:szCs w:val="21"/>
          <w:u w:val="single"/>
        </w:rPr>
        <w:t>%</w:t>
      </w:r>
      <w:r>
        <w:rPr>
          <w:rFonts w:hint="eastAsia" w:ascii="宋体" w:hAnsi="宋体" w:cs="宋体"/>
          <w:snapToGrid w:val="0"/>
          <w:kern w:val="0"/>
          <w:szCs w:val="21"/>
        </w:rPr>
        <w:t>的违约金，不足以补偿因泄密给甲方造成的全部直接损失的，继续赔偿损失。</w:t>
      </w:r>
    </w:p>
    <w:p>
      <w:pPr>
        <w:spacing w:line="360" w:lineRule="auto"/>
        <w:rPr>
          <w:rFonts w:ascii="宋体" w:hAnsi="宋体" w:cs="宋体"/>
          <w:b/>
          <w:snapToGrid w:val="0"/>
          <w:kern w:val="0"/>
          <w:szCs w:val="21"/>
          <w:u w:val="single"/>
        </w:rPr>
      </w:pPr>
      <w:r>
        <w:rPr>
          <w:rFonts w:hint="eastAsia" w:ascii="宋体" w:hAnsi="宋体" w:cs="宋体"/>
          <w:b/>
          <w:snapToGrid w:val="0"/>
          <w:kern w:val="0"/>
          <w:szCs w:val="21"/>
        </w:rPr>
        <w:t xml:space="preserve">    第九条 解决争议方式</w:t>
      </w:r>
    </w:p>
    <w:p>
      <w:pPr>
        <w:spacing w:line="360" w:lineRule="auto"/>
        <w:rPr>
          <w:rFonts w:ascii="宋体" w:hAnsi="宋体" w:cs="宋体"/>
          <w:snapToGrid w:val="0"/>
          <w:kern w:val="0"/>
          <w:szCs w:val="21"/>
        </w:rPr>
      </w:pPr>
      <w:r>
        <w:rPr>
          <w:rFonts w:hint="eastAsia" w:ascii="宋体" w:hAnsi="宋体" w:cs="宋体"/>
          <w:snapToGrid w:val="0"/>
          <w:kern w:val="0"/>
          <w:szCs w:val="21"/>
        </w:rPr>
        <w:t>凡是因执行合同或与合同有关事项所发生的争执，双方以友好协商的原则妥善解决；如协商不能解决时，按下列第</w:t>
      </w:r>
      <w:r>
        <w:rPr>
          <w:rFonts w:ascii="宋体" w:hAnsi="宋体" w:cs="宋体"/>
          <w:snapToGrid w:val="0"/>
          <w:kern w:val="0"/>
          <w:szCs w:val="21"/>
          <w:u w:val="single"/>
        </w:rPr>
        <w:t>2</w:t>
      </w:r>
      <w:r>
        <w:rPr>
          <w:rFonts w:hint="eastAsia" w:ascii="宋体" w:hAnsi="宋体" w:cs="宋体"/>
          <w:snapToGrid w:val="0"/>
          <w:kern w:val="0"/>
          <w:szCs w:val="21"/>
        </w:rPr>
        <w:t>种方式解决。</w:t>
      </w:r>
    </w:p>
    <w:p>
      <w:pPr>
        <w:spacing w:line="360" w:lineRule="auto"/>
        <w:ind w:firstLine="420" w:firstLineChars="200"/>
        <w:rPr>
          <w:rFonts w:hint="eastAsia" w:ascii="宋体" w:hAnsi="宋体" w:cs="宋体"/>
          <w:snapToGrid w:val="0"/>
          <w:kern w:val="0"/>
          <w:szCs w:val="21"/>
        </w:rPr>
      </w:pPr>
      <w:r>
        <w:rPr>
          <w:rFonts w:ascii="宋体" w:hAnsi="宋体" w:cs="宋体"/>
          <w:snapToGrid w:val="0"/>
          <w:kern w:val="0"/>
          <w:szCs w:val="21"/>
        </w:rPr>
        <w:t>1.</w:t>
      </w:r>
      <w:r>
        <w:rPr>
          <w:rFonts w:hint="eastAsia" w:ascii="宋体" w:hAnsi="宋体" w:cs="宋体"/>
          <w:snapToGrid w:val="0"/>
          <w:kern w:val="0"/>
          <w:szCs w:val="21"/>
        </w:rPr>
        <w:t>提交仲裁委员会按照该会现行仲裁规则和程序进行仲裁；</w:t>
      </w:r>
    </w:p>
    <w:p>
      <w:pPr>
        <w:spacing w:line="360" w:lineRule="auto"/>
        <w:ind w:firstLine="420" w:firstLineChars="200"/>
        <w:rPr>
          <w:rFonts w:ascii="宋体" w:hAnsi="宋体" w:cs="宋体"/>
          <w:snapToGrid w:val="0"/>
          <w:kern w:val="0"/>
          <w:szCs w:val="21"/>
        </w:rPr>
      </w:pPr>
      <w:r>
        <w:rPr>
          <w:rFonts w:ascii="宋体" w:hAnsi="宋体" w:cs="宋体"/>
          <w:snapToGrid w:val="0"/>
          <w:kern w:val="0"/>
          <w:szCs w:val="21"/>
        </w:rPr>
        <w:t>2.</w:t>
      </w:r>
      <w:r>
        <w:rPr>
          <w:rFonts w:hint="eastAsia" w:ascii="宋体" w:hAnsi="宋体" w:cs="宋体"/>
          <w:snapToGrid w:val="0"/>
          <w:kern w:val="0"/>
          <w:szCs w:val="21"/>
        </w:rPr>
        <w:t>依法向项目所在地人民法院起诉。</w:t>
      </w:r>
    </w:p>
    <w:p>
      <w:pPr>
        <w:spacing w:line="360" w:lineRule="auto"/>
        <w:rPr>
          <w:rFonts w:ascii="宋体" w:hAnsi="宋体" w:cs="宋体"/>
          <w:b/>
          <w:snapToGrid w:val="0"/>
          <w:kern w:val="0"/>
          <w:szCs w:val="21"/>
        </w:rPr>
      </w:pPr>
      <w:r>
        <w:rPr>
          <w:rFonts w:hint="eastAsia" w:ascii="宋体" w:hAnsi="宋体" w:cs="宋体"/>
          <w:b/>
          <w:snapToGrid w:val="0"/>
          <w:kern w:val="0"/>
          <w:szCs w:val="21"/>
        </w:rPr>
        <w:t xml:space="preserve">    第十条 协议生效</w:t>
      </w:r>
    </w:p>
    <w:p>
      <w:pPr>
        <w:spacing w:line="360" w:lineRule="auto"/>
        <w:ind w:left="420" w:leftChars="200"/>
        <w:rPr>
          <w:rFonts w:ascii="宋体" w:hAnsi="宋体" w:cs="宋体"/>
          <w:snapToGrid w:val="0"/>
          <w:kern w:val="0"/>
          <w:szCs w:val="21"/>
        </w:rPr>
      </w:pPr>
      <w:r>
        <w:rPr>
          <w:rFonts w:ascii="宋体" w:hAnsi="宋体" w:cs="宋体"/>
          <w:snapToGrid w:val="0"/>
          <w:kern w:val="0"/>
          <w:szCs w:val="21"/>
        </w:rPr>
        <w:t>1.</w:t>
      </w:r>
      <w:r>
        <w:rPr>
          <w:rFonts w:hint="eastAsia" w:ascii="宋体" w:hAnsi="宋体" w:cs="宋体"/>
          <w:snapToGrid w:val="0"/>
          <w:kern w:val="0"/>
          <w:szCs w:val="21"/>
        </w:rPr>
        <w:t>本合同自</w:t>
      </w:r>
      <w:r>
        <w:rPr>
          <w:rFonts w:hint="eastAsia" w:ascii="宋体" w:hAnsi="宋体" w:cs="宋体"/>
          <w:snapToGrid w:val="0"/>
          <w:kern w:val="0"/>
          <w:szCs w:val="21"/>
          <w:u w:val="single"/>
        </w:rPr>
        <w:t>签订之日起</w:t>
      </w:r>
      <w:r>
        <w:rPr>
          <w:rFonts w:hint="eastAsia" w:ascii="宋体" w:hAnsi="宋体" w:cs="宋体"/>
          <w:snapToGrid w:val="0"/>
          <w:kern w:val="0"/>
          <w:szCs w:val="21"/>
        </w:rPr>
        <w:t>生效。</w:t>
      </w:r>
    </w:p>
    <w:p>
      <w:pPr>
        <w:spacing w:line="360" w:lineRule="auto"/>
        <w:ind w:left="420" w:leftChars="200"/>
        <w:rPr>
          <w:rFonts w:ascii="宋体" w:hAnsi="宋体" w:cs="宋体"/>
          <w:snapToGrid w:val="0"/>
          <w:kern w:val="0"/>
          <w:szCs w:val="21"/>
        </w:rPr>
      </w:pPr>
      <w:r>
        <w:rPr>
          <w:rFonts w:ascii="宋体" w:hAnsi="宋体" w:cs="宋体"/>
          <w:snapToGrid w:val="0"/>
          <w:kern w:val="0"/>
          <w:szCs w:val="21"/>
        </w:rPr>
        <w:t>2.</w:t>
      </w:r>
      <w:r>
        <w:rPr>
          <w:rFonts w:hint="eastAsia" w:ascii="宋体" w:hAnsi="宋体" w:cs="宋体"/>
          <w:snapToGrid w:val="0"/>
          <w:kern w:val="0"/>
          <w:szCs w:val="21"/>
        </w:rPr>
        <w:t>本合同一式</w:t>
      </w:r>
      <w:r>
        <w:rPr>
          <w:rFonts w:hint="eastAsia" w:ascii="宋体" w:hAnsi="宋体" w:cs="宋体"/>
          <w:snapToGrid w:val="0"/>
          <w:kern w:val="0"/>
          <w:szCs w:val="21"/>
          <w:u w:val="single"/>
        </w:rPr>
        <w:t>肆</w:t>
      </w:r>
      <w:r>
        <w:rPr>
          <w:rFonts w:hint="eastAsia" w:ascii="宋体" w:hAnsi="宋体" w:cs="宋体"/>
          <w:snapToGrid w:val="0"/>
          <w:kern w:val="0"/>
          <w:szCs w:val="21"/>
        </w:rPr>
        <w:t>份。甲方持</w:t>
      </w:r>
      <w:r>
        <w:rPr>
          <w:rFonts w:hint="eastAsia" w:ascii="宋体" w:hAnsi="宋体" w:cs="宋体"/>
          <w:snapToGrid w:val="0"/>
          <w:kern w:val="0"/>
          <w:szCs w:val="21"/>
          <w:u w:val="single"/>
        </w:rPr>
        <w:t>叁</w:t>
      </w:r>
      <w:r>
        <w:rPr>
          <w:rFonts w:hint="eastAsia" w:ascii="宋体" w:hAnsi="宋体" w:cs="宋体"/>
          <w:snapToGrid w:val="0"/>
          <w:kern w:val="0"/>
          <w:szCs w:val="21"/>
        </w:rPr>
        <w:t>份，乙方持</w:t>
      </w:r>
      <w:r>
        <w:rPr>
          <w:rFonts w:hint="eastAsia" w:ascii="宋体" w:hAnsi="宋体" w:cs="宋体"/>
          <w:snapToGrid w:val="0"/>
          <w:kern w:val="0"/>
          <w:szCs w:val="21"/>
          <w:u w:val="single"/>
        </w:rPr>
        <w:t>壹</w:t>
      </w:r>
      <w:r>
        <w:rPr>
          <w:rFonts w:hint="eastAsia" w:ascii="宋体" w:hAnsi="宋体" w:cs="宋体"/>
          <w:snapToGrid w:val="0"/>
          <w:kern w:val="0"/>
          <w:szCs w:val="21"/>
        </w:rPr>
        <w:t>份，具有同等效力，由甲乙双方分别保存。</w:t>
      </w:r>
    </w:p>
    <w:p>
      <w:pPr>
        <w:spacing w:line="360" w:lineRule="auto"/>
        <w:ind w:firstLine="420" w:firstLineChars="200"/>
        <w:rPr>
          <w:rFonts w:ascii="宋体" w:hAnsi="宋体" w:cs="宋体"/>
          <w:snapToGrid w:val="0"/>
          <w:kern w:val="0"/>
          <w:szCs w:val="21"/>
        </w:rPr>
      </w:pPr>
      <w:r>
        <w:rPr>
          <w:rFonts w:ascii="宋体" w:hAnsi="宋体" w:cs="宋体"/>
          <w:snapToGrid w:val="0"/>
          <w:kern w:val="0"/>
          <w:szCs w:val="21"/>
        </w:rPr>
        <w:t>3.</w:t>
      </w:r>
      <w:r>
        <w:rPr>
          <w:rFonts w:hint="eastAsia" w:ascii="宋体" w:hAnsi="宋体" w:cs="宋体"/>
          <w:snapToGrid w:val="0"/>
          <w:kern w:val="0"/>
          <w:szCs w:val="21"/>
        </w:rPr>
        <w:t>乙方提供的项目服务承诺书做为合同附件，是合同不可分割的组成部分。附件内容若与合同正文不符，合同正文效力优先。</w:t>
      </w:r>
    </w:p>
    <w:p>
      <w:pPr>
        <w:spacing w:line="360" w:lineRule="auto"/>
        <w:ind w:firstLine="420" w:firstLineChars="200"/>
        <w:rPr>
          <w:rFonts w:ascii="宋体" w:hAnsi="宋体" w:cs="宋体"/>
          <w:snapToGrid w:val="0"/>
          <w:kern w:val="0"/>
          <w:szCs w:val="21"/>
        </w:rPr>
      </w:pPr>
      <w:r>
        <w:rPr>
          <w:rFonts w:ascii="宋体" w:hAnsi="宋体" w:cs="宋体"/>
          <w:snapToGrid w:val="0"/>
          <w:kern w:val="0"/>
          <w:szCs w:val="21"/>
        </w:rPr>
        <w:t>4.</w:t>
      </w:r>
      <w:r>
        <w:rPr>
          <w:rFonts w:hint="eastAsia" w:ascii="宋体" w:hAnsi="宋体" w:cs="宋体"/>
          <w:snapToGrid w:val="0"/>
          <w:kern w:val="0"/>
          <w:szCs w:val="21"/>
        </w:rPr>
        <w:t>本合同执行过程中，所有补充协议以及有关文件经甲乙双方签字或盖章后即成为本合同附件不可分割的有效组成部分，其生效日期为甲乙双方签字或盖章之日起。</w:t>
      </w:r>
    </w:p>
    <w:p>
      <w:pPr>
        <w:spacing w:line="360" w:lineRule="auto"/>
        <w:rPr>
          <w:rFonts w:ascii="宋体" w:hAnsi="宋体" w:cs="宋体"/>
          <w:b/>
          <w:snapToGrid w:val="0"/>
          <w:kern w:val="0"/>
          <w:szCs w:val="21"/>
        </w:rPr>
      </w:pPr>
      <w:r>
        <w:rPr>
          <w:rFonts w:hint="eastAsia" w:ascii="宋体" w:hAnsi="宋体" w:cs="宋体"/>
          <w:b/>
          <w:snapToGrid w:val="0"/>
          <w:kern w:val="0"/>
          <w:szCs w:val="21"/>
        </w:rPr>
        <w:t xml:space="preserve">    第十一条 其他</w:t>
      </w:r>
    </w:p>
    <w:p>
      <w:pPr>
        <w:spacing w:line="360" w:lineRule="auto"/>
        <w:rPr>
          <w:rFonts w:ascii="宋体" w:hAnsi="宋体" w:cs="宋体"/>
          <w:snapToGrid w:val="0"/>
          <w:kern w:val="0"/>
          <w:szCs w:val="21"/>
        </w:rPr>
      </w:pPr>
      <w:r>
        <w:rPr>
          <w:rFonts w:hint="eastAsia" w:ascii="宋体" w:hAnsi="宋体" w:cs="宋体"/>
          <w:snapToGrid w:val="0"/>
          <w:kern w:val="0"/>
          <w:szCs w:val="21"/>
        </w:rPr>
        <w:t xml:space="preserve">    未尽事宜双方另行协商解决，商定的内容以协议、纪要、附件、洽商等形式，经签章后与本协议具有同等效力。</w:t>
      </w:r>
    </w:p>
    <w:p>
      <w:pPr>
        <w:spacing w:line="360" w:lineRule="auto"/>
        <w:ind w:firstLine="537"/>
        <w:rPr>
          <w:rFonts w:ascii="宋体" w:hAnsi="宋体" w:cs="宋体"/>
          <w:snapToGrid w:val="0"/>
          <w:kern w:val="0"/>
          <w:szCs w:val="21"/>
        </w:rPr>
      </w:pPr>
      <w:r>
        <w:rPr>
          <w:rFonts w:hint="eastAsia" w:ascii="宋体" w:hAnsi="宋体" w:cs="宋体"/>
          <w:snapToGrid w:val="0"/>
          <w:kern w:val="0"/>
          <w:szCs w:val="21"/>
        </w:rPr>
        <w:t>甲方（盖章）：                   乙方（盖章）：</w:t>
      </w:r>
    </w:p>
    <w:p>
      <w:pPr>
        <w:spacing w:line="360" w:lineRule="auto"/>
        <w:ind w:firstLine="537"/>
        <w:rPr>
          <w:rFonts w:ascii="宋体" w:hAnsi="宋体" w:cs="宋体"/>
          <w:snapToGrid w:val="0"/>
          <w:kern w:val="0"/>
          <w:szCs w:val="21"/>
        </w:rPr>
      </w:pPr>
      <w:r>
        <w:rPr>
          <w:rFonts w:hint="eastAsia" w:ascii="宋体" w:hAnsi="宋体" w:cs="宋体"/>
          <w:snapToGrid w:val="0"/>
          <w:kern w:val="0"/>
          <w:szCs w:val="21"/>
        </w:rPr>
        <w:t>开户银行：</w:t>
      </w:r>
    </w:p>
    <w:p>
      <w:pPr>
        <w:spacing w:line="360" w:lineRule="auto"/>
        <w:ind w:firstLine="537"/>
      </w:pPr>
      <w:r>
        <w:rPr>
          <w:rFonts w:hint="eastAsia"/>
        </w:rPr>
        <w:t>账号：</w:t>
      </w:r>
    </w:p>
    <w:p>
      <w:pPr>
        <w:spacing w:line="360" w:lineRule="auto"/>
        <w:ind w:firstLine="537"/>
        <w:rPr>
          <w:rFonts w:ascii="宋体" w:hAnsi="宋体" w:cs="宋体"/>
          <w:snapToGrid w:val="0"/>
          <w:kern w:val="0"/>
          <w:szCs w:val="21"/>
        </w:rPr>
      </w:pPr>
      <w:r>
        <w:rPr>
          <w:rFonts w:hint="eastAsia" w:ascii="宋体" w:hAnsi="宋体" w:cs="宋体"/>
          <w:snapToGrid w:val="0"/>
          <w:kern w:val="0"/>
          <w:szCs w:val="21"/>
        </w:rPr>
        <w:t>法定代表人：                      法定代表人：</w:t>
      </w:r>
    </w:p>
    <w:p>
      <w:pPr>
        <w:spacing w:line="360" w:lineRule="auto"/>
        <w:ind w:firstLine="537"/>
        <w:rPr>
          <w:rFonts w:ascii="宋体" w:hAnsi="宋体" w:cs="宋体"/>
          <w:snapToGrid w:val="0"/>
          <w:kern w:val="0"/>
          <w:szCs w:val="21"/>
        </w:rPr>
      </w:pPr>
      <w:r>
        <w:rPr>
          <w:rFonts w:hint="eastAsia" w:ascii="宋体" w:hAnsi="宋体" w:cs="宋体"/>
          <w:snapToGrid w:val="0"/>
          <w:kern w:val="0"/>
          <w:szCs w:val="21"/>
        </w:rPr>
        <w:t>委托代理人：                      委托代理人：</w:t>
      </w:r>
    </w:p>
    <w:p>
      <w:pPr>
        <w:spacing w:line="360" w:lineRule="auto"/>
        <w:ind w:firstLine="630" w:firstLineChars="300"/>
        <w:rPr>
          <w:rFonts w:ascii="宋体" w:hAnsi="宋体" w:cs="宋体"/>
          <w:snapToGrid w:val="0"/>
          <w:kern w:val="0"/>
          <w:szCs w:val="21"/>
        </w:rPr>
      </w:pPr>
      <w:r>
        <w:rPr>
          <w:rFonts w:hint="eastAsia" w:ascii="宋体" w:hAnsi="宋体" w:cs="宋体"/>
          <w:snapToGrid w:val="0"/>
          <w:kern w:val="0"/>
          <w:szCs w:val="21"/>
        </w:rPr>
        <w:t>时   间：</w:t>
      </w:r>
      <w:r>
        <w:rPr>
          <w:rFonts w:hint="eastAsia" w:ascii="宋体" w:hAnsi="宋体" w:cs="宋体"/>
          <w:snapToGrid w:val="0"/>
          <w:kern w:val="0"/>
          <w:szCs w:val="21"/>
          <w:lang w:val="en-US" w:eastAsia="zh-CN"/>
        </w:rPr>
        <w:t xml:space="preserve">  </w:t>
      </w:r>
      <w:r>
        <w:rPr>
          <w:rFonts w:hint="eastAsia" w:ascii="宋体" w:hAnsi="宋体" w:cs="宋体"/>
          <w:snapToGrid w:val="0"/>
          <w:kern w:val="0"/>
          <w:szCs w:val="21"/>
        </w:rPr>
        <w:t>年</w:t>
      </w:r>
      <w:r>
        <w:rPr>
          <w:rFonts w:hint="eastAsia" w:ascii="宋体" w:hAnsi="宋体" w:cs="宋体"/>
          <w:snapToGrid w:val="0"/>
          <w:kern w:val="0"/>
          <w:szCs w:val="21"/>
          <w:lang w:val="en-US" w:eastAsia="zh-CN"/>
        </w:rPr>
        <w:t xml:space="preserve">  </w:t>
      </w:r>
      <w:r>
        <w:rPr>
          <w:rFonts w:hint="eastAsia" w:ascii="宋体" w:hAnsi="宋体" w:cs="宋体"/>
          <w:snapToGrid w:val="0"/>
          <w:kern w:val="0"/>
          <w:szCs w:val="21"/>
        </w:rPr>
        <w:t xml:space="preserve">月  日       </w:t>
      </w:r>
      <w:r>
        <w:rPr>
          <w:rFonts w:hint="eastAsia" w:ascii="宋体" w:hAnsi="宋体" w:cs="宋体"/>
          <w:snapToGrid w:val="0"/>
          <w:kern w:val="0"/>
          <w:szCs w:val="21"/>
          <w:lang w:val="en-US" w:eastAsia="zh-CN"/>
        </w:rPr>
        <w:t xml:space="preserve">   </w:t>
      </w:r>
      <w:r>
        <w:rPr>
          <w:rFonts w:hint="eastAsia" w:ascii="宋体" w:hAnsi="宋体" w:cs="宋体"/>
          <w:snapToGrid w:val="0"/>
          <w:kern w:val="0"/>
          <w:szCs w:val="21"/>
        </w:rPr>
        <w:t xml:space="preserve"> </w:t>
      </w:r>
      <w:r>
        <w:rPr>
          <w:rFonts w:hint="eastAsia" w:ascii="宋体" w:hAnsi="宋体" w:cs="宋体"/>
          <w:snapToGrid w:val="0"/>
          <w:kern w:val="0"/>
          <w:szCs w:val="21"/>
          <w:lang w:val="en-US" w:eastAsia="zh-CN"/>
        </w:rPr>
        <w:t xml:space="preserve"> </w:t>
      </w:r>
      <w:r>
        <w:rPr>
          <w:rFonts w:hint="eastAsia" w:ascii="宋体" w:hAnsi="宋体" w:cs="宋体"/>
          <w:snapToGrid w:val="0"/>
          <w:kern w:val="0"/>
          <w:szCs w:val="21"/>
        </w:rPr>
        <w:t>时  间：</w:t>
      </w:r>
      <w:r>
        <w:rPr>
          <w:rFonts w:hint="eastAsia" w:ascii="宋体" w:hAnsi="宋体" w:cs="宋体"/>
          <w:snapToGrid w:val="0"/>
          <w:kern w:val="0"/>
          <w:szCs w:val="21"/>
          <w:lang w:val="en-US" w:eastAsia="zh-CN"/>
        </w:rPr>
        <w:t xml:space="preserve"> </w:t>
      </w:r>
      <w:r>
        <w:rPr>
          <w:rFonts w:hint="eastAsia" w:ascii="宋体" w:hAnsi="宋体" w:cs="宋体"/>
          <w:snapToGrid w:val="0"/>
          <w:kern w:val="0"/>
          <w:szCs w:val="21"/>
        </w:rPr>
        <w:t>年</w:t>
      </w:r>
      <w:r>
        <w:rPr>
          <w:rFonts w:hint="eastAsia" w:ascii="宋体" w:hAnsi="宋体" w:cs="宋体"/>
          <w:snapToGrid w:val="0"/>
          <w:kern w:val="0"/>
          <w:szCs w:val="21"/>
          <w:lang w:val="en-US" w:eastAsia="zh-CN"/>
        </w:rPr>
        <w:t xml:space="preserve">   </w:t>
      </w:r>
      <w:r>
        <w:rPr>
          <w:rFonts w:hint="eastAsia" w:ascii="宋体" w:hAnsi="宋体" w:cs="宋体"/>
          <w:snapToGrid w:val="0"/>
          <w:kern w:val="0"/>
          <w:szCs w:val="21"/>
        </w:rPr>
        <w:t>月  日</w:t>
      </w:r>
      <w:bookmarkEnd w:id="0"/>
      <w:bookmarkEnd w:id="1"/>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ms Rmn">
    <w:altName w:val="Segoe Print"/>
    <w:panose1 w:val="02020603040505020304"/>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2ZmYyOWY3NWFjMTQzNmQ4YzhlY2Q0YjgwNDI3ZGYifQ=="/>
  </w:docVars>
  <w:rsids>
    <w:rsidRoot w:val="00E862B6"/>
    <w:rsid w:val="000323C5"/>
    <w:rsid w:val="00056FA3"/>
    <w:rsid w:val="00060808"/>
    <w:rsid w:val="000942B4"/>
    <w:rsid w:val="000B1E70"/>
    <w:rsid w:val="000D413C"/>
    <w:rsid w:val="00143650"/>
    <w:rsid w:val="001B7263"/>
    <w:rsid w:val="0021064C"/>
    <w:rsid w:val="002B2D5B"/>
    <w:rsid w:val="003204F2"/>
    <w:rsid w:val="00373537"/>
    <w:rsid w:val="004429F7"/>
    <w:rsid w:val="004C5CD1"/>
    <w:rsid w:val="005052C2"/>
    <w:rsid w:val="005507C7"/>
    <w:rsid w:val="00587E20"/>
    <w:rsid w:val="005C00F8"/>
    <w:rsid w:val="005D6BE9"/>
    <w:rsid w:val="006200EF"/>
    <w:rsid w:val="00680D9A"/>
    <w:rsid w:val="006A6002"/>
    <w:rsid w:val="007375D7"/>
    <w:rsid w:val="00782248"/>
    <w:rsid w:val="007C7691"/>
    <w:rsid w:val="007F51CA"/>
    <w:rsid w:val="0080359E"/>
    <w:rsid w:val="008317A7"/>
    <w:rsid w:val="0085770F"/>
    <w:rsid w:val="008A3464"/>
    <w:rsid w:val="008C0F75"/>
    <w:rsid w:val="008D0B3A"/>
    <w:rsid w:val="008E2F17"/>
    <w:rsid w:val="00905ED8"/>
    <w:rsid w:val="00927E6D"/>
    <w:rsid w:val="00953093"/>
    <w:rsid w:val="009919E9"/>
    <w:rsid w:val="009B2E9E"/>
    <w:rsid w:val="00A077C8"/>
    <w:rsid w:val="00AC3253"/>
    <w:rsid w:val="00B53A33"/>
    <w:rsid w:val="00BA3E7B"/>
    <w:rsid w:val="00BB02CB"/>
    <w:rsid w:val="00BF3096"/>
    <w:rsid w:val="00C85656"/>
    <w:rsid w:val="00C9102F"/>
    <w:rsid w:val="00CC07C1"/>
    <w:rsid w:val="00CC1BB9"/>
    <w:rsid w:val="00CC5226"/>
    <w:rsid w:val="00CF00F7"/>
    <w:rsid w:val="00D175C7"/>
    <w:rsid w:val="00D21441"/>
    <w:rsid w:val="00D42F31"/>
    <w:rsid w:val="00D86525"/>
    <w:rsid w:val="00DF79F3"/>
    <w:rsid w:val="00E07305"/>
    <w:rsid w:val="00E21265"/>
    <w:rsid w:val="00E37FB5"/>
    <w:rsid w:val="00E503B2"/>
    <w:rsid w:val="00E862B6"/>
    <w:rsid w:val="00F41DC3"/>
    <w:rsid w:val="07D77390"/>
    <w:rsid w:val="0AA326BF"/>
    <w:rsid w:val="23BF0502"/>
    <w:rsid w:val="34F34C07"/>
    <w:rsid w:val="36462E68"/>
    <w:rsid w:val="37447668"/>
    <w:rsid w:val="3C4354AE"/>
    <w:rsid w:val="40AA0BC3"/>
    <w:rsid w:val="41DC3706"/>
    <w:rsid w:val="459E05CA"/>
    <w:rsid w:val="485209AA"/>
    <w:rsid w:val="4F741D71"/>
    <w:rsid w:val="500D4CCA"/>
    <w:rsid w:val="64D43BB1"/>
    <w:rsid w:val="6A4140F8"/>
    <w:rsid w:val="770F0FEE"/>
    <w:rsid w:val="7A3E2F83"/>
    <w:rsid w:val="7F0864D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6"/>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2"/>
    <w:qFormat/>
    <w:uiPriority w:val="0"/>
    <w:pPr>
      <w:ind w:firstLine="407" w:firstLineChars="200"/>
    </w:pPr>
    <w:rPr>
      <w:rFonts w:asciiTheme="minorHAnsi" w:hAnsiTheme="minorHAnsi" w:eastAsiaTheme="minorEastAsia" w:cstheme="minorBidi"/>
    </w:rPr>
  </w:style>
  <w:style w:type="paragraph" w:styleId="4">
    <w:name w:val="Date"/>
    <w:basedOn w:val="1"/>
    <w:next w:val="1"/>
    <w:link w:val="11"/>
    <w:qFormat/>
    <w:uiPriority w:val="0"/>
    <w:pPr>
      <w:ind w:left="100" w:leftChars="2500"/>
    </w:pPr>
    <w:rPr>
      <w:rFonts w:asciiTheme="minorHAnsi" w:hAnsiTheme="minorHAnsi" w:eastAsiaTheme="minorEastAsia" w:cstheme="minorBidi"/>
    </w:rPr>
  </w:style>
  <w:style w:type="paragraph" w:styleId="5">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日期 Char"/>
    <w:link w:val="4"/>
    <w:qFormat/>
    <w:uiPriority w:val="0"/>
    <w:rPr>
      <w:szCs w:val="24"/>
    </w:rPr>
  </w:style>
  <w:style w:type="character" w:customStyle="1" w:styleId="12">
    <w:name w:val="正文文本缩进 Char"/>
    <w:link w:val="3"/>
    <w:uiPriority w:val="0"/>
    <w:rPr>
      <w:szCs w:val="24"/>
    </w:rPr>
  </w:style>
  <w:style w:type="character" w:customStyle="1" w:styleId="13">
    <w:name w:val="日期 字符1"/>
    <w:basedOn w:val="8"/>
    <w:semiHidden/>
    <w:qFormat/>
    <w:uiPriority w:val="99"/>
    <w:rPr>
      <w:rFonts w:ascii="Calibri" w:hAnsi="Calibri" w:eastAsia="宋体" w:cs="Times New Roman"/>
      <w:szCs w:val="24"/>
    </w:rPr>
  </w:style>
  <w:style w:type="character" w:customStyle="1" w:styleId="14">
    <w:name w:val="正文文本缩进 字符1"/>
    <w:basedOn w:val="8"/>
    <w:semiHidden/>
    <w:qFormat/>
    <w:uiPriority w:val="99"/>
    <w:rPr>
      <w:rFonts w:ascii="Calibri" w:hAnsi="Calibri" w:eastAsia="宋体" w:cs="Times New Roman"/>
      <w:szCs w:val="24"/>
    </w:rPr>
  </w:style>
  <w:style w:type="paragraph" w:customStyle="1" w:styleId="15">
    <w:name w:val="正文文本 21"/>
    <w:basedOn w:val="1"/>
    <w:qFormat/>
    <w:uiPriority w:val="0"/>
    <w:pPr>
      <w:autoSpaceDE w:val="0"/>
      <w:autoSpaceDN w:val="0"/>
      <w:adjustRightInd w:val="0"/>
      <w:spacing w:before="20" w:after="20" w:line="360" w:lineRule="atLeast"/>
      <w:ind w:firstLine="680"/>
      <w:textAlignment w:val="baseline"/>
    </w:pPr>
    <w:rPr>
      <w:rFonts w:ascii="宋体" w:hAnsi="Tms Rmn"/>
      <w:kern w:val="0"/>
      <w:sz w:val="24"/>
      <w:szCs w:val="20"/>
    </w:rPr>
  </w:style>
  <w:style w:type="character" w:customStyle="1" w:styleId="16">
    <w:name w:val="标题 3 Char"/>
    <w:basedOn w:val="8"/>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500</Words>
  <Characters>2852</Characters>
  <Lines>23</Lines>
  <Paragraphs>6</Paragraphs>
  <TotalTime>59</TotalTime>
  <ScaleCrop>false</ScaleCrop>
  <LinksUpToDate>false</LinksUpToDate>
  <CharactersWithSpaces>3346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2023-03-22T02:03:00Z</dcterms:created>
  <dc:creator>钰</dc:creator>
  <cp:lastModifiedBy>HAHA</cp:lastModifiedBy>
  <dcterms:modified xsi:type="dcterms:W3CDTF">2023-03-22T07:55:46Z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3AC10691AEDC4A5089374EFBCD59B392</vt:lpwstr>
  </property>
</Properties>
</file>